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71976d6k.htm"/>
      <w:bookmarkStart w:id="1" w:name="ksd171976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October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001-32993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0"/>
        </w:rPr>
      </w:pPr>
      <w:r>
        <w:rPr>
          <w:rFonts w:ascii="Times New Roman" w:hAnsi="Times New Roman"/>
          <w:b/>
          <w:sz w:val="40"/>
        </w:rPr>
        <w:t xml:space="preserve">NEW ORIENTAL EDUCATION &amp; TECHNOLOGY GROUP INC.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No. 6 Hai Dian Zhong Street </w:t>
      </w:r>
    </w:p>
    <w:p>
      <w:pPr>
        <w:pStyle w:val="TextBody"/>
        <w:bidi w:val="0"/>
        <w:spacing w:before="0" w:after="0"/>
        <w:jc w:val="center"/>
        <w:rPr>
          <w:rFonts w:ascii="Times New Roman" w:hAnsi="Times New Roman"/>
          <w:b/>
          <w:sz w:val="20"/>
        </w:rPr>
      </w:pPr>
      <w:r>
        <w:rPr>
          <w:rFonts w:ascii="Times New Roman" w:hAnsi="Times New Roman"/>
          <w:b/>
          <w:sz w:val="20"/>
        </w:rPr>
        <w:t xml:space="preserve">Haidian District </w:t>
      </w:r>
    </w:p>
    <w:p>
      <w:pPr>
        <w:pStyle w:val="TextBody"/>
        <w:bidi w:val="0"/>
        <w:spacing w:before="0" w:after="0"/>
        <w:jc w:val="center"/>
        <w:rPr>
          <w:rFonts w:ascii="Times New Roman" w:hAnsi="Times New Roman"/>
          <w:b/>
          <w:sz w:val="20"/>
        </w:rPr>
      </w:pPr>
      <w:r>
        <w:rPr>
          <w:rFonts w:ascii="Times New Roman" w:hAnsi="Times New Roman"/>
          <w:b/>
          <w:sz w:val="20"/>
        </w:rPr>
        <w:t xml:space="preserve">Beijing 100080, People’s Republic of China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240" w:after="0"/>
        <w:jc w:val="left"/>
        <w:rPr/>
      </w:pPr>
      <w:r>
        <w:rPr>
          <w:rFonts w:ascii="Times New Roman" w:hAnsi="Times New Roman"/>
          <w:sz w:val="20"/>
        </w:rPr>
        <w:t xml:space="preserve">Exhibit 99.1 – </w:t>
      </w:r>
      <w:hyperlink w:anchor="d171976dex991.htm">
        <w:r>
          <w:rPr>
            <w:rStyle w:val="InternetLink"/>
            <w:rFonts w:ascii="Times New Roman" w:hAnsi="Times New Roman"/>
            <w:sz w:val="20"/>
          </w:rPr>
          <w:t xml:space="preserve">Announcement – Date of Board Meeting </w:t>
        </w:r>
      </w:hyperlink>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0"/>
        <w:gridCol w:w="60"/>
        <w:gridCol w:w="3632"/>
      </w:tblGrid>
      <w:tr>
        <w:trPr/>
        <w:tc>
          <w:tcPr>
            <w:tcW w:w="3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3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New Oriental Education &amp; Technology Group Inc.</w:t>
            </w:r>
          </w:p>
        </w:tc>
      </w:tr>
      <w:tr>
        <w:trPr>
          <w:trHeight w:val="240" w:hRule="atLeast"/>
        </w:trPr>
        <w:tc>
          <w:tcPr>
            <w:tcW w:w="390" w:type="dxa"/>
            <w:tcBorders/>
            <w:vAlign w:val="center"/>
          </w:tcPr>
          <w:p>
            <w:pPr>
              <w:pStyle w:val="TableContents"/>
              <w:bidi w:val="0"/>
              <w:spacing w:before="0" w:after="283"/>
              <w:jc w:val="left"/>
              <w:rPr>
                <w:sz w:val="4"/>
                <w:szCs w:val="4"/>
              </w:rPr>
            </w:pPr>
            <w:r>
              <w:rPr>
                <w:sz w:val="4"/>
                <w:szCs w:val="4"/>
              </w:rPr>
            </w:r>
          </w:p>
        </w:tc>
        <w:tc>
          <w:tcPr>
            <w:tcW w:w="3692" w:type="dxa"/>
            <w:gridSpan w:val="2"/>
            <w:tcBorders/>
            <w:vAlign w:val="center"/>
          </w:tcPr>
          <w:p>
            <w:pPr>
              <w:pStyle w:val="TableContents"/>
              <w:bidi w:val="0"/>
              <w:spacing w:before="0" w:after="283"/>
              <w:jc w:val="left"/>
              <w:rPr>
                <w:sz w:val="4"/>
                <w:szCs w:val="4"/>
              </w:rPr>
            </w:pPr>
            <w:r>
              <w:rPr>
                <w:sz w:val="4"/>
                <w:szCs w:val="4"/>
              </w:rPr>
            </w:r>
          </w:p>
        </w:tc>
      </w:tr>
      <w:tr>
        <w:trPr/>
        <w:tc>
          <w:tcPr>
            <w:tcW w:w="390"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32" w:type="dxa"/>
            <w:tcBorders>
              <w:bottom w:val="single" w:sz="2" w:space="0" w:color="000000"/>
            </w:tcBorders>
            <w:tcMar>
              <w:bottom w:w="28" w:type="dxa"/>
            </w:tcMar>
          </w:tcPr>
          <w:p>
            <w:pPr>
              <w:pStyle w:val="TableContents"/>
              <w:bidi w:val="0"/>
              <w:spacing w:before="0" w:after="283"/>
              <w:jc w:val="left"/>
              <w:rPr/>
            </w:pPr>
            <w:r>
              <w:rPr/>
              <w:t>/s/ Stephen Zhihui Yang</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Name:  Stephen Zhihui Yang</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Title:   Executive President and Chief Financial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October 13, 2026 </w:t>
      </w:r>
    </w:p>
    <w:p>
      <w:pPr>
        <w:pStyle w:val="TextBody"/>
        <w:bidi w:val="0"/>
        <w:spacing w:before="0" w:after="0"/>
        <w:jc w:val="right"/>
        <w:rPr>
          <w:rFonts w:ascii="Times New Roman" w:hAnsi="Times New Roman"/>
          <w:b/>
          <w:sz w:val="20"/>
        </w:rPr>
      </w:pPr>
      <w:bookmarkStart w:id="2" w:name="d171976dex991.htm"/>
      <w:bookmarkStart w:id="3" w:name="ksd171976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rHeight w:val="30" w:hRule="atLeast"/>
        </w:trPr>
        <w:tc>
          <w:tcPr>
            <w:tcW w:w="10205" w:type="dxa"/>
            <w:tcBorders>
              <w:top w:val="single" w:sz="2" w:space="0" w:color="000000"/>
              <w:left w:val="single" w:sz="2" w:space="0" w:color="000000"/>
              <w:right w:val="single" w:sz="2" w:space="0" w:color="000000"/>
            </w:tcBorders>
            <w:shd w:fill="CCCCCC" w:val="clear"/>
            <w:tcMar>
              <w:top w:w="28" w:type="dxa"/>
              <w:left w:w="160" w:type="dxa"/>
              <w:right w:w="28" w:type="dxa"/>
            </w:tcMar>
            <w:vAlign w:val="center"/>
          </w:tcPr>
          <w:p>
            <w:pPr>
              <w:pStyle w:val="TableContents"/>
              <w:bidi w:val="0"/>
              <w:spacing w:before="0" w:after="283"/>
              <w:jc w:val="left"/>
              <w:rPr/>
            </w:pPr>
            <w:r>
              <w:rPr/>
              <w:t> </w:t>
            </w:r>
          </w:p>
        </w:tc>
      </w:tr>
      <w:tr>
        <w:trPr/>
        <w:tc>
          <w:tcPr>
            <w:tcW w:w="10205" w:type="dxa"/>
            <w:tcBorders>
              <w:left w:val="single" w:sz="2" w:space="0" w:color="000000"/>
              <w:bottom w:val="single" w:sz="2" w:space="0" w:color="000000"/>
              <w:right w:val="single" w:sz="2" w:space="0" w:color="000000"/>
            </w:tcBorders>
            <w:shd w:fill="CCCCCC" w:val="clear"/>
            <w:tcMar>
              <w:left w:w="160" w:type="dxa"/>
              <w:bottom w:w="40" w:type="dxa"/>
              <w:right w:w="40" w:type="dxa"/>
            </w:tcMar>
          </w:tcPr>
          <w:p>
            <w:pPr>
              <w:pStyle w:val="TableContents"/>
              <w:bidi w:val="0"/>
              <w:spacing w:before="0" w:after="283"/>
              <w:jc w:val="left"/>
              <w:rPr/>
            </w:pPr>
            <w:r>
              <w:rPr>
                <w:i/>
              </w:rPr>
              <w:t>Hong Kong Exchanges and Clearing Limited and The Stock Exchange of Hong Kong Limited (the “</w:t>
            </w:r>
            <w:r>
              <w:rPr>
                <w:b/>
                <w:i/>
              </w:rPr>
              <w:t>Hong Kong Stock Exchange</w:t>
            </w:r>
            <w:r>
              <w:rPr/>
              <w:t>”</w:t>
            </w:r>
            <w:r>
              <w:rPr>
                <w:i/>
              </w:rPr>
              <w:t>)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tc>
      </w:tr>
    </w:tbl>
    <w:p>
      <w:pPr>
        <w:pStyle w:val="TextBody"/>
        <w:bidi w:val="0"/>
        <w:spacing w:before="0" w:after="0"/>
        <w:jc w:val="left"/>
        <w:rPr/>
      </w:pPr>
      <w:r>
        <w:rPr/>
        <w:t> </w:t>
      </w:r>
    </w:p>
    <w:p>
      <w:pPr>
        <w:pStyle w:val="TextBody"/>
        <w:bidi w:val="0"/>
        <w:spacing w:before="0" w:after="0"/>
        <w:jc w:val="center"/>
        <w:rPr/>
      </w:pPr>
      <w:r>
        <w:rPr/>
        <w:drawing>
          <wp:inline distT="0" distB="0" distL="0" distR="0">
            <wp:extent cx="1932940" cy="76581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32940" cy="76581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32"/>
        </w:rPr>
      </w:pPr>
      <w:r>
        <w:rPr>
          <w:rFonts w:ascii="Times New Roman" w:hAnsi="Times New Roman"/>
          <w:b/>
          <w:sz w:val="32"/>
        </w:rPr>
        <w:t xml:space="preserve">NEW ORIENTAL EDUCATION &amp; TECHNOLOGY GROUP INC. </w:t>
      </w:r>
    </w:p>
    <w:p>
      <w:pPr>
        <w:pStyle w:val="TextBody"/>
        <w:bidi w:val="0"/>
        <w:spacing w:before="0" w:after="0"/>
        <w:jc w:val="left"/>
        <w:rPr/>
      </w:pPr>
      <w:r>
        <w:rPr/>
        <w:t> </w:t>
      </w:r>
    </w:p>
    <w:p>
      <w:pPr>
        <w:pStyle w:val="TextBody"/>
        <w:bidi w:val="0"/>
        <w:spacing w:before="0" w:after="0"/>
        <w:jc w:val="center"/>
        <w:rPr/>
      </w:pPr>
      <w:r>
        <w:rPr/>
        <w:drawing>
          <wp:inline distT="0" distB="0" distL="0" distR="0">
            <wp:extent cx="4446270" cy="25209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446270" cy="252095"/>
                    </a:xfrm>
                    <a:prstGeom prst="rect">
                      <a:avLst/>
                    </a:prstGeom>
                  </pic:spPr>
                </pic:pic>
              </a:graphicData>
            </a:graphic>
          </wp:inline>
        </w:drawing>
      </w:r>
      <w:r>
        <w:rPr/>
        <w:t xml:space="preserve"> </w:t>
      </w:r>
    </w:p>
    <w:p>
      <w:pPr>
        <w:pStyle w:val="TextBody"/>
        <w:bidi w:val="0"/>
        <w:spacing w:before="120" w:after="0"/>
        <w:jc w:val="center"/>
        <w:rPr>
          <w:rFonts w:ascii="Times New Roman" w:hAnsi="Times New Roman"/>
          <w:i/>
          <w:sz w:val="20"/>
        </w:rPr>
      </w:pPr>
      <w:r>
        <w:rPr>
          <w:rFonts w:ascii="Times New Roman" w:hAnsi="Times New Roman"/>
          <w:i/>
          <w:sz w:val="20"/>
        </w:rPr>
        <w:t xml:space="preserve">(continued in the Cayman Islands with limited liability) </w:t>
      </w:r>
    </w:p>
    <w:p>
      <w:pPr>
        <w:pStyle w:val="TextBody"/>
        <w:bidi w:val="0"/>
        <w:spacing w:before="0" w:after="0"/>
        <w:jc w:val="center"/>
        <w:rPr>
          <w:rFonts w:ascii="Times New Roman" w:hAnsi="Times New Roman"/>
          <w:b/>
          <w:sz w:val="20"/>
        </w:rPr>
      </w:pPr>
      <w:r>
        <w:rPr>
          <w:rFonts w:ascii="Times New Roman" w:hAnsi="Times New Roman"/>
          <w:b/>
          <w:sz w:val="20"/>
        </w:rPr>
        <w:t xml:space="preserve">(Stock Code: 9901) </w:t>
      </w:r>
    </w:p>
    <w:p>
      <w:pPr>
        <w:pStyle w:val="TextBody"/>
        <w:bidi w:val="0"/>
        <w:spacing w:before="240" w:after="0"/>
        <w:jc w:val="center"/>
        <w:rPr>
          <w:rFonts w:ascii="Times New Roman" w:hAnsi="Times New Roman"/>
          <w:b/>
          <w:sz w:val="20"/>
        </w:rPr>
      </w:pPr>
      <w:r>
        <w:rPr>
          <w:rFonts w:ascii="Times New Roman" w:hAnsi="Times New Roman"/>
          <w:b/>
          <w:sz w:val="20"/>
        </w:rPr>
        <w:t xml:space="preserve">DATE OF BOARD MEETING </w:t>
      </w:r>
    </w:p>
    <w:p>
      <w:pPr>
        <w:pStyle w:val="TextBody"/>
        <w:bidi w:val="0"/>
        <w:spacing w:before="240" w:after="0"/>
        <w:jc w:val="left"/>
        <w:rPr>
          <w:rFonts w:ascii="Times New Roman" w:hAnsi="Times New Roman"/>
          <w:b/>
          <w:sz w:val="20"/>
        </w:rPr>
      </w:pPr>
      <w:r>
        <w:rPr>
          <w:rFonts w:ascii="Times New Roman" w:hAnsi="Times New Roman"/>
          <w:b/>
          <w:sz w:val="20"/>
        </w:rPr>
        <w:t xml:space="preserve">Date of Board Meeting </w:t>
      </w:r>
    </w:p>
    <w:p>
      <w:pPr>
        <w:pStyle w:val="TextBody"/>
        <w:bidi w:val="0"/>
        <w:spacing w:before="120" w:after="0"/>
        <w:jc w:val="left"/>
        <w:rPr>
          <w:rFonts w:ascii="Times New Roman" w:hAnsi="Times New Roman"/>
          <w:sz w:val="20"/>
        </w:rPr>
      </w:pPr>
      <w:r>
        <w:rPr>
          <w:rFonts w:ascii="Times New Roman" w:hAnsi="Times New Roman"/>
          <w:sz w:val="20"/>
        </w:rPr>
        <w:t>The board (the “</w:t>
      </w:r>
      <w:r>
        <w:rPr>
          <w:rFonts w:ascii="Times New Roman" w:hAnsi="Times New Roman"/>
          <w:b/>
          <w:sz w:val="20"/>
        </w:rPr>
        <w:t>Board</w:t>
      </w:r>
      <w:r>
        <w:rPr>
          <w:rFonts w:ascii="Times New Roman" w:hAnsi="Times New Roman"/>
          <w:sz w:val="20"/>
        </w:rPr>
        <w:t>”) of directors (the “</w:t>
      </w:r>
      <w:r>
        <w:rPr>
          <w:rFonts w:ascii="Times New Roman" w:hAnsi="Times New Roman"/>
          <w:b/>
          <w:sz w:val="20"/>
        </w:rPr>
        <w:t>Directors</w:t>
      </w:r>
      <w:r>
        <w:rPr>
          <w:rFonts w:ascii="Times New Roman" w:hAnsi="Times New Roman"/>
          <w:sz w:val="20"/>
        </w:rPr>
        <w:t>”) of New Oriental Education &amp; Technology Group Inc. (the “</w:t>
      </w:r>
      <w:r>
        <w:rPr>
          <w:rFonts w:ascii="Times New Roman" w:hAnsi="Times New Roman"/>
          <w:b/>
          <w:sz w:val="20"/>
        </w:rPr>
        <w:t>Company</w:t>
      </w:r>
      <w:r>
        <w:rPr>
          <w:rFonts w:ascii="Times New Roman" w:hAnsi="Times New Roman"/>
          <w:sz w:val="20"/>
        </w:rPr>
        <w:t>”) hereby announces that a meeting of the Board will be held on Tuesday, October 27, 2026 for the purposes of, among other matters, approving the unaudited results of the Company for the three months ended August 31, 2026 (the “</w:t>
      </w:r>
      <w:r>
        <w:rPr>
          <w:rFonts w:ascii="Times New Roman" w:hAnsi="Times New Roman"/>
          <w:b/>
          <w:sz w:val="20"/>
        </w:rPr>
        <w:t>Results</w:t>
      </w:r>
      <w:r>
        <w:rPr>
          <w:rFonts w:ascii="Times New Roman" w:hAnsi="Times New Roman"/>
          <w:sz w:val="20"/>
        </w:rPr>
        <w:t xml:space="preserve">”) and its publication. </w:t>
      </w:r>
    </w:p>
    <w:p>
      <w:pPr>
        <w:pStyle w:val="TextBody"/>
        <w:bidi w:val="0"/>
        <w:spacing w:before="240" w:after="0"/>
        <w:jc w:val="left"/>
        <w:rPr>
          <w:rFonts w:ascii="Times New Roman" w:hAnsi="Times New Roman"/>
          <w:sz w:val="20"/>
        </w:rPr>
      </w:pPr>
      <w:r>
        <w:rPr>
          <w:rFonts w:ascii="Times New Roman" w:hAnsi="Times New Roman"/>
          <w:sz w:val="20"/>
        </w:rPr>
        <w:t xml:space="preserve">We will announce our Results before U.S. market opens on Wednesday, October 28, 2026 (New York time) on the website of the Hong Kong Stock Exchange at </w:t>
      </w:r>
      <w:r>
        <w:rPr>
          <w:rFonts w:ascii="Times New Roman" w:hAnsi="Times New Roman"/>
          <w:sz w:val="20"/>
          <w:u w:val="single"/>
        </w:rPr>
        <w:t>www.hkexnews.hk</w:t>
      </w:r>
      <w:r>
        <w:rPr>
          <w:rFonts w:ascii="Times New Roman" w:hAnsi="Times New Roman"/>
          <w:sz w:val="20"/>
        </w:rPr>
        <w:t xml:space="preserve">. The earnings teleconference call will take place at 8 p.m. on Wednesday, October 28, 2026 (Hong Kong time). The Company’s management will be on the call to discuss the Results and answer questions. </w:t>
      </w:r>
    </w:p>
    <w:p>
      <w:pPr>
        <w:pStyle w:val="TextBody"/>
        <w:bidi w:val="0"/>
        <w:spacing w:before="240" w:after="0"/>
        <w:jc w:val="left"/>
        <w:rPr>
          <w:rFonts w:ascii="Times New Roman" w:hAnsi="Times New Roman"/>
          <w:sz w:val="20"/>
        </w:rPr>
      </w:pPr>
      <w:r>
        <w:rPr>
          <w:rFonts w:ascii="Times New Roman" w:hAnsi="Times New Roman"/>
          <w:sz w:val="20"/>
        </w:rPr>
        <w:t xml:space="preserve">Participants can join the conference using the below options: </w:t>
      </w:r>
    </w:p>
    <w:p>
      <w:pPr>
        <w:pStyle w:val="TextBody"/>
        <w:bidi w:val="0"/>
        <w:spacing w:before="360" w:after="0"/>
        <w:jc w:val="left"/>
        <w:rPr>
          <w:rFonts w:ascii="Times New Roman" w:hAnsi="Times New Roman"/>
          <w:b/>
          <w:sz w:val="20"/>
        </w:rPr>
      </w:pPr>
      <w:r>
        <w:rPr>
          <w:rFonts w:ascii="Times New Roman" w:hAnsi="Times New Roman"/>
          <w:b/>
          <w:sz w:val="20"/>
        </w:rPr>
        <w:t xml:space="preserve">Dialling-in to the conference call: </w:t>
      </w:r>
    </w:p>
    <w:p>
      <w:pPr>
        <w:pStyle w:val="TextBody"/>
        <w:bidi w:val="0"/>
        <w:spacing w:before="120" w:after="0"/>
        <w:jc w:val="left"/>
        <w:rPr>
          <w:rFonts w:ascii="Times New Roman" w:hAnsi="Times New Roman"/>
          <w:sz w:val="20"/>
        </w:rPr>
      </w:pPr>
      <w:r>
        <w:rPr>
          <w:rFonts w:ascii="Times New Roman" w:hAnsi="Times New Roman"/>
          <w:sz w:val="20"/>
        </w:rPr>
        <w:t xml:space="preserve">Please register in advance of the conference, using the link provided below. Upon registering, you will be provided with participant dial-in numbers, and unique personal PIN. </w:t>
      </w:r>
    </w:p>
    <w:p>
      <w:pPr>
        <w:pStyle w:val="TextBody"/>
        <w:bidi w:val="0"/>
        <w:spacing w:before="240" w:after="0"/>
        <w:jc w:val="left"/>
        <w:rPr>
          <w:rFonts w:ascii="Times New Roman" w:hAnsi="Times New Roman"/>
          <w:sz w:val="20"/>
        </w:rPr>
      </w:pPr>
      <w:r>
        <w:rPr>
          <w:rFonts w:ascii="Times New Roman" w:hAnsi="Times New Roman"/>
          <w:sz w:val="20"/>
        </w:rPr>
        <w:t xml:space="preserve">Conference call registration link: </w:t>
      </w:r>
      <w:r>
        <w:rPr>
          <w:rFonts w:ascii="Times New Roman" w:hAnsi="Times New Roman"/>
          <w:sz w:val="20"/>
          <w:u w:val="single"/>
        </w:rPr>
        <w:t>https://register-conf.media-server.com/register/BId978053d1f894490876e8d3906094a10</w:t>
      </w:r>
      <w:r>
        <w:rPr>
          <w:rFonts w:ascii="Times New Roman" w:hAnsi="Times New Roman"/>
          <w:sz w:val="20"/>
        </w:rPr>
        <w:t xml:space="preserve">. It will automatically direct you to the registration page of “New Oriental FY2027 Q1 Earnings Conference Call” where you may fill in your details for RSVP. </w:t>
      </w:r>
    </w:p>
    <w:p>
      <w:pPr>
        <w:pStyle w:val="TextBody"/>
        <w:bidi w:val="0"/>
        <w:spacing w:before="240" w:after="0"/>
        <w:jc w:val="left"/>
        <w:rPr>
          <w:rFonts w:ascii="Times New Roman" w:hAnsi="Times New Roman"/>
          <w:sz w:val="20"/>
        </w:rPr>
      </w:pPr>
      <w:r>
        <w:rPr>
          <w:rFonts w:ascii="Times New Roman" w:hAnsi="Times New Roman"/>
          <w:sz w:val="20"/>
        </w:rPr>
        <w:t xml:space="preserve">In the 10 minutes prior to the call start time, you may use the conference access information (including dial in number(s) and personal PIN) provided in the confirmation email received at the point of registering.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Joining the conference call via a live webcast: </w:t>
      </w:r>
    </w:p>
    <w:p>
      <w:pPr>
        <w:pStyle w:val="TextBody"/>
        <w:bidi w:val="0"/>
        <w:spacing w:before="120" w:after="0"/>
        <w:jc w:val="left"/>
        <w:rPr>
          <w:rFonts w:ascii="Times New Roman" w:hAnsi="Times New Roman"/>
          <w:sz w:val="20"/>
        </w:rPr>
      </w:pPr>
      <w:r>
        <w:rPr>
          <w:rFonts w:ascii="Times New Roman" w:hAnsi="Times New Roman"/>
          <w:sz w:val="20"/>
        </w:rPr>
        <w:t xml:space="preserve">Additionally, a live and archived webcast of the conference call will be available at </w:t>
      </w:r>
      <w:r>
        <w:rPr>
          <w:rFonts w:ascii="Times New Roman" w:hAnsi="Times New Roman"/>
          <w:sz w:val="20"/>
          <w:u w:val="single"/>
        </w:rPr>
        <w:t>http://investor.neworiental.org</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Listening to the conference call replay: </w:t>
      </w:r>
    </w:p>
    <w:p>
      <w:pPr>
        <w:pStyle w:val="TextBody"/>
        <w:bidi w:val="0"/>
        <w:spacing w:before="120" w:after="0"/>
        <w:jc w:val="left"/>
        <w:rPr>
          <w:rFonts w:ascii="Times New Roman" w:hAnsi="Times New Roman"/>
          <w:sz w:val="20"/>
        </w:rPr>
      </w:pPr>
      <w:r>
        <w:rPr>
          <w:rFonts w:ascii="Times New Roman" w:hAnsi="Times New Roman"/>
          <w:sz w:val="20"/>
        </w:rPr>
        <w:t xml:space="preserve">A replay of the conference call may be accessed via the webcast on-demand by registering at </w:t>
      </w:r>
      <w:r>
        <w:rPr>
          <w:rFonts w:ascii="Times New Roman" w:hAnsi="Times New Roman"/>
          <w:sz w:val="20"/>
          <w:u w:val="single"/>
        </w:rPr>
        <w:t>https://edge.media-server.com/mmc/p/d5kv97n5</w:t>
      </w:r>
      <w:r>
        <w:rPr>
          <w:rFonts w:ascii="Times New Roman" w:hAnsi="Times New Roman"/>
          <w:sz w:val="20"/>
        </w:rPr>
        <w:t xml:space="preserve"> first. The replay will be available until October 28, 2027. </w:t>
      </w:r>
    </w:p>
    <w:p>
      <w:pPr>
        <w:pStyle w:val="TextBody"/>
        <w:bidi w:val="0"/>
        <w:spacing w:before="0" w:after="0"/>
        <w:jc w:val="left"/>
        <w:rPr/>
      </w:pPr>
      <w:r>
        <w:rPr/>
        <w:t> </w:t>
      </w:r>
    </w:p>
    <w:tbl>
      <w:tblPr>
        <w:tblW w:w="5180" w:type="dxa"/>
        <w:jc w:val="right"/>
        <w:tblInd w:w="0" w:type="dxa"/>
        <w:tblLayout w:type="fixed"/>
        <w:tblCellMar>
          <w:top w:w="0" w:type="dxa"/>
          <w:left w:w="0" w:type="dxa"/>
          <w:bottom w:w="0" w:type="dxa"/>
          <w:right w:w="0" w:type="dxa"/>
        </w:tblCellMar>
      </w:tblPr>
      <w:tblGrid>
        <w:gridCol w:w="5180"/>
      </w:tblGrid>
      <w:tr>
        <w:trPr/>
        <w:tc>
          <w:tcPr>
            <w:tcW w:w="5180" w:type="dxa"/>
            <w:tcBorders/>
            <w:vAlign w:val="center"/>
          </w:tcPr>
          <w:p>
            <w:pPr>
              <w:pStyle w:val="TableContents"/>
              <w:bidi w:val="0"/>
              <w:spacing w:before="0" w:after="283"/>
              <w:jc w:val="left"/>
              <w:rPr>
                <w:sz w:val="4"/>
                <w:szCs w:val="4"/>
              </w:rPr>
            </w:pPr>
            <w:r>
              <w:rPr>
                <w:sz w:val="4"/>
                <w:szCs w:val="4"/>
              </w:rPr>
            </w:r>
          </w:p>
        </w:tc>
      </w:tr>
      <w:tr>
        <w:trPr/>
        <w:tc>
          <w:tcPr>
            <w:tcW w:w="5180" w:type="dxa"/>
            <w:tcBorders/>
          </w:tcPr>
          <w:p>
            <w:pPr>
              <w:pStyle w:val="TableContents"/>
              <w:bidi w:val="0"/>
              <w:spacing w:before="0" w:after="283"/>
              <w:jc w:val="center"/>
              <w:rPr/>
            </w:pPr>
            <w:r>
              <w:rPr/>
              <w:t>By order of the Board</w:t>
            </w:r>
          </w:p>
        </w:tc>
      </w:tr>
      <w:tr>
        <w:trPr/>
        <w:tc>
          <w:tcPr>
            <w:tcW w:w="5180" w:type="dxa"/>
            <w:tcBorders/>
          </w:tcPr>
          <w:p>
            <w:pPr>
              <w:pStyle w:val="TableContents"/>
              <w:bidi w:val="0"/>
              <w:spacing w:before="0" w:after="283"/>
              <w:jc w:val="center"/>
              <w:rPr>
                <w:b/>
              </w:rPr>
            </w:pPr>
            <w:r>
              <w:rPr>
                <w:b/>
              </w:rPr>
              <w:t>New Oriental Education &amp; Technology Group Inc.</w:t>
            </w:r>
          </w:p>
        </w:tc>
      </w:tr>
      <w:tr>
        <w:trPr/>
        <w:tc>
          <w:tcPr>
            <w:tcW w:w="5180" w:type="dxa"/>
            <w:tcBorders/>
          </w:tcPr>
          <w:p>
            <w:pPr>
              <w:pStyle w:val="TableContents"/>
              <w:bidi w:val="0"/>
              <w:spacing w:before="0" w:after="283"/>
              <w:jc w:val="center"/>
              <w:rPr>
                <w:b/>
              </w:rPr>
            </w:pPr>
            <w:r>
              <w:rPr>
                <w:b/>
              </w:rPr>
              <w:t>Mr. Michael Minhong Yu</w:t>
            </w:r>
          </w:p>
        </w:tc>
      </w:tr>
      <w:tr>
        <w:trPr/>
        <w:tc>
          <w:tcPr>
            <w:tcW w:w="5180" w:type="dxa"/>
            <w:tcBorders/>
          </w:tcPr>
          <w:p>
            <w:pPr>
              <w:pStyle w:val="TableContents"/>
              <w:bidi w:val="0"/>
              <w:spacing w:before="0" w:after="283"/>
              <w:jc w:val="center"/>
              <w:rPr>
                <w:i/>
              </w:rPr>
            </w:pPr>
            <w:r>
              <w:rPr>
                <w:i/>
              </w:rPr>
              <w:t>Chairman</w:t>
            </w:r>
          </w:p>
        </w:tc>
      </w:tr>
    </w:tbl>
    <w:p>
      <w:pPr>
        <w:pStyle w:val="TextBody"/>
        <w:bidi w:val="0"/>
        <w:spacing w:before="240" w:after="0"/>
        <w:jc w:val="left"/>
        <w:rPr>
          <w:rFonts w:ascii="Times New Roman" w:hAnsi="Times New Roman"/>
          <w:sz w:val="20"/>
        </w:rPr>
      </w:pPr>
      <w:r>
        <w:rPr>
          <w:rFonts w:ascii="Times New Roman" w:hAnsi="Times New Roman"/>
          <w:sz w:val="20"/>
        </w:rPr>
        <w:t xml:space="preserve">Beijing, China, October 12, 2026 </w:t>
      </w:r>
    </w:p>
    <w:p>
      <w:pPr>
        <w:pStyle w:val="TextBody"/>
        <w:bidi w:val="0"/>
        <w:spacing w:before="240" w:after="0"/>
        <w:jc w:val="left"/>
        <w:rPr>
          <w:rFonts w:ascii="Times New Roman" w:hAnsi="Times New Roman"/>
          <w:i/>
          <w:sz w:val="20"/>
        </w:rPr>
      </w:pPr>
      <w:r>
        <w:rPr>
          <w:rFonts w:ascii="Times New Roman" w:hAnsi="Times New Roman"/>
          <w:i/>
          <w:sz w:val="20"/>
        </w:rPr>
        <w:t xml:space="preserve">As at the date of this announcement, the board of directors of the Company comprises Mr. Michael Minhong Yu, Mr. Chenggang Zhou and Mr. Louis T. Hsieh as directors and Mr. Robin Yanhong Li, Mr. Denny Lee and Dr. Yue Zhuge as independent directors.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2"/>
        <w:gridCol w:w="10003"/>
      </w:tblGrid>
      <w:tr>
        <w:trPr/>
        <w:tc>
          <w:tcPr>
            <w:tcW w:w="202" w:type="dxa"/>
            <w:tcBorders/>
          </w:tcPr>
          <w:p>
            <w:pPr>
              <w:pStyle w:val="TableContents"/>
              <w:bidi w:val="0"/>
              <w:spacing w:before="0" w:after="283"/>
              <w:jc w:val="left"/>
              <w:rPr>
                <w:i/>
              </w:rPr>
            </w:pPr>
            <w:r>
              <w:rPr>
                <w:i/>
              </w:rPr>
              <w:t>*</w:t>
            </w:r>
          </w:p>
        </w:tc>
        <w:tc>
          <w:tcPr>
            <w:tcW w:w="10003" w:type="dxa"/>
            <w:tcBorders/>
          </w:tcPr>
          <w:p>
            <w:pPr>
              <w:pStyle w:val="TableContents"/>
              <w:bidi w:val="0"/>
              <w:spacing w:before="0" w:after="0"/>
              <w:jc w:val="left"/>
              <w:rPr>
                <w:rFonts w:ascii="Times New Roman" w:hAnsi="Times New Roman"/>
                <w:sz w:val="20"/>
              </w:rPr>
            </w:pPr>
            <w:r>
              <w:rPr>
                <w:rFonts w:ascii="Times New Roman" w:hAnsi="Times New Roman"/>
                <w:i/>
                <w:sz w:val="20"/>
              </w:rPr>
              <w:t>for identification purposes only</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608</Words>
  <Characters>3317</Characters>
  <CharactersWithSpaces>3951</CharactersWithSpaces>
  <Paragraphs>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