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214865d6k.htm"/>
      <w:bookmarkStart w:id="1" w:name="ksd214865d6k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6-K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REPORT OF FOREIGN PRIVATE ISSUER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PURSUANT TO RULE 13a-16 OR 15d-16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THE SECURITIES EXCHANGE ACT OF 1934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For the month of September 2026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Commission File Number: 001-32993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 xml:space="preserve">NEW ORIENTAL EDUCATION &amp; TECHNOLOGY GROUP INC.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No. 6 Hai Dian Zhong Street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Haidian District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Beijing 100080, People’s Republic of China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 of principal executive offices)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Indicate by check mark whether the registrant files or will file annual reports under cover of Form 20-F or Form 40-F.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Form 20-F  ☒   Form 40-F ☐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Exhibit Index </w:t>
      </w:r>
    </w:p>
    <w:p>
      <w:pPr>
        <w:pStyle w:val="TextBody"/>
        <w:bidi w:val="0"/>
        <w:spacing w:before="240" w:after="0"/>
        <w:jc w:val="left"/>
        <w:rPr/>
      </w:pPr>
      <w:r>
        <w:rPr>
          <w:rFonts w:ascii="Times New Roman" w:hAnsi="Times New Roman"/>
          <w:sz w:val="20"/>
        </w:rPr>
        <w:t xml:space="preserve">Exhibit 99.1 – </w:t>
      </w:r>
      <w:hyperlink w:anchor="d214865dex991.pdf">
        <w:r>
          <w:rPr>
            <w:rStyle w:val="InternetLink"/>
            <w:rFonts w:ascii="Times New Roman" w:hAnsi="Times New Roman"/>
            <w:sz w:val="20"/>
          </w:rPr>
          <w:t xml:space="preserve">Annual Report for the Year Ended May 31, 2026 published pursuant to the Rules Governing the Listing of Securities on The Stock Exchange of Hong Kong Limited </w:t>
        </w:r>
      </w:hyperlink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SIGNATURE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the registrant has duly caused this report to be signed on its behalf by the undersigned, thereunto duly authorized.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2000" w:type="pct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0"/>
        <w:gridCol w:w="60"/>
        <w:gridCol w:w="3632"/>
      </w:tblGrid>
      <w:tr>
        <w:trPr/>
        <w:tc>
          <w:tcPr>
            <w:tcW w:w="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New Oriental Education &amp; Technology Group Inc.</w:t>
            </w:r>
          </w:p>
        </w:tc>
      </w:tr>
      <w:tr>
        <w:trPr>
          <w:trHeight w:val="240" w:hRule="atLeast"/>
        </w:trPr>
        <w:tc>
          <w:tcPr>
            <w:tcW w:w="3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32" w:type="dxa"/>
            <w:tcBorders/>
          </w:tcPr>
          <w:p>
            <w:pPr>
              <w:pStyle w:val="TableContents"/>
              <w:pBdr>
                <w:bottom w:val="single" w:sz="2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Stephen Zhihui Yang</w:t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 Stephen Zhihui Yang</w:t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 Executive President and Chief Financial Officer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Date: September 22, 2026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181</Words>
  <Characters>956</Characters>
  <CharactersWithSpaces>1157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Form 6-K</dc:title>
</cp:coreProperties>
</file>