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Zhou Chenggang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6 HAI DIAN ZHONG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HAIDIAN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 Oriental Education &amp; Technology Group Inc.</w:t>
              </w:r>
            </w:hyperlink>
            <w:r>
              <w:rPr/>
              <w:t xml:space="preserve"> [ </w:t>
            </w:r>
            <w:r>
              <w:rPr>
                <w:rFonts w:ascii="Times;serif" w:hAnsi="Times;serif"/>
                <w:color w:val="0000FF"/>
                <w:sz w:val="24"/>
                <w:shd w:fill="FFFFFF" w:val="clear"/>
              </w:rPr>
              <w:t>EDU</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HKEX:9901</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5"/>
        <w:gridCol w:w="904"/>
        <w:gridCol w:w="773"/>
        <w:gridCol w:w="600"/>
        <w:gridCol w:w="349"/>
        <w:gridCol w:w="932"/>
        <w:gridCol w:w="456"/>
        <w:gridCol w:w="798"/>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56.32</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486,946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56,948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56.83</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429,998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underlying common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per ADS. The ADSs were sold at prices ranging from $56.0 to $56.55. The Reporting Person will provide upon request, to the SEC staff,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per ADS. The ADSs were sold at prices ranging from $56.45 to $57.35. The Reporting Person will provide upon request, to the SEC staff,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Zhou Chenggang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544" TargetMode="External"/><Relationship Id="rId5" Type="http://schemas.openxmlformats.org/officeDocument/2006/relationships/hyperlink" Target="http://www.sec.gov/cgi-bin/browse-edgar?action=getcompany&amp;CIK=00013729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3715</Characters>
  <CharactersWithSpaces>4329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