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For the month of October 2023</w:t>
      </w:r>
    </w:p>
    <w:p>
      <w:pPr>
        <w:spacing w:after="0" w:line="22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Commission File Number: 001-32993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ind w:left="280"/>
        <w:spacing w:after="0"/>
        <w:rPr>
          <w:sz w:val="20"/>
          <w:szCs w:val="20"/>
          <w:color w:val="auto"/>
        </w:rPr>
      </w:pPr>
      <w:r>
        <w:rPr>
          <w:rFonts w:ascii="Arial" w:cs="Arial" w:eastAsia="Arial" w:hAnsi="Arial"/>
          <w:sz w:val="36"/>
          <w:szCs w:val="36"/>
          <w:b w:val="1"/>
          <w:bCs w:val="1"/>
          <w:color w:val="auto"/>
        </w:rPr>
        <w:t>NEW ORIENTAL EDUCATION &amp; TECHNOLOGY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95885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2"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No. 6 Hai Dian Zhong Street</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Haidian District</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Beijing 100080, People’s Republic of China</w:t>
      </w:r>
    </w:p>
    <w:p>
      <w:pPr>
        <w:spacing w:after="0" w:line="2"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0" w:lineRule="exact"/>
        <w:rPr>
          <w:sz w:val="24"/>
          <w:szCs w:val="24"/>
          <w:color w:val="auto"/>
        </w:rPr>
      </w:pPr>
    </w:p>
    <w:p>
      <w:pPr>
        <w:jc w:val="center"/>
        <w:ind w:right="-279"/>
        <w:spacing w:after="0" w:line="207" w:lineRule="exact"/>
        <w:rPr>
          <w:sz w:val="20"/>
          <w:szCs w:val="20"/>
          <w:color w:val="auto"/>
        </w:rPr>
      </w:pPr>
      <w:r>
        <w:rPr>
          <w:rFonts w:ascii="Arial" w:cs="Arial" w:eastAsia="Arial" w:hAnsi="Arial"/>
          <w:sz w:val="18"/>
          <w:szCs w:val="18"/>
          <w:color w:val="auto"/>
        </w:rPr>
        <w:t>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257810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0"/>
          </w:cols>
          <w:pgMar w:left="440" w:top="382" w:right="739" w:bottom="1440" w:gutter="0" w:footer="0" w:header="0"/>
        </w:sectPr>
      </w:pPr>
    </w:p>
    <w:bookmarkStart w:id="1" w:name="page2"/>
    <w:bookmarkEnd w:id="1"/>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made an announcement dated October 13, 2023 with The Stock Exchange of Hong Kong Limited relating to the record date of our forthcoming annual general meeting. Details including the date and location of the meeting will be provided in a meeting notice in due course.</w:t>
      </w:r>
    </w:p>
    <w:p>
      <w:pPr>
        <w:sectPr>
          <w:pgSz w:w="11900" w:h="16838" w:orient="portrait"/>
          <w:cols w:equalWidth="0" w:num="1">
            <w:col w:w="10620"/>
          </w:cols>
          <w:pgMar w:left="440" w:top="270" w:right="83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Exhibit 99.1 – </w:t>
      </w:r>
      <w:r>
        <w:rPr>
          <w:rFonts w:ascii="Arial" w:cs="Arial" w:eastAsia="Arial" w:hAnsi="Arial"/>
          <w:sz w:val="16"/>
          <w:szCs w:val="16"/>
          <w:u w:val="single" w:color="auto"/>
          <w:color w:val="0000EE"/>
        </w:rPr>
        <w:t>Announcement — Record Date for Annual General Meeting of Shareholders</w:t>
      </w:r>
    </w:p>
    <w:p>
      <w:pPr>
        <w:sectPr>
          <w:pgSz w:w="11900" w:h="16838" w:orient="portrait"/>
          <w:cols w:equalWidth="0" w:num="1">
            <w:col w:w="10019"/>
          </w:cols>
          <w:pgMar w:left="440" w:top="270" w:right="1440"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New Oriental Education &amp; Technology Group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Stephen Zhihui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Name:Stephen Zhihui Yang</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Title:Executive President and Chief Financial Officer</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13, 2023</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6-K]</w:t>
      </w:r>
    </w:p>
    <w:p>
      <w:pPr>
        <w:sectPr>
          <w:pgSz w:w="11900" w:h="16838" w:orient="portrait"/>
          <w:cols w:equalWidth="0" w:num="1">
            <w:col w:w="10700"/>
          </w:cols>
          <w:pgMar w:left="440" w:top="274"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169545</wp:posOffset>
            </wp:positionV>
            <wp:extent cx="6998970" cy="492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290" w:lineRule="exact"/>
        <w:rPr>
          <w:sz w:val="20"/>
          <w:szCs w:val="20"/>
          <w:color w:val="auto"/>
        </w:rPr>
      </w:pPr>
    </w:p>
    <w:p>
      <w:pPr>
        <w:ind w:left="124" w:right="300"/>
        <w:spacing w:after="0" w:line="286" w:lineRule="auto"/>
        <w:rPr>
          <w:sz w:val="20"/>
          <w:szCs w:val="20"/>
          <w:color w:val="auto"/>
        </w:rPr>
      </w:pPr>
      <w:r>
        <w:rPr>
          <w:rFonts w:ascii="Arial" w:cs="Arial" w:eastAsia="Arial" w:hAnsi="Arial"/>
          <w:sz w:val="17"/>
          <w:szCs w:val="17"/>
          <w:i w:val="1"/>
          <w:iCs w:val="1"/>
          <w:color w:val="auto"/>
        </w:rPr>
        <w:t>Hong Kong Exchanges and Clearing Limited and The Stock Exchange of Hong Kong Limited (the “</w:t>
      </w:r>
      <w:r>
        <w:rPr>
          <w:rFonts w:ascii="Arial" w:cs="Arial" w:eastAsia="Arial" w:hAnsi="Arial"/>
          <w:sz w:val="17"/>
          <w:szCs w:val="17"/>
          <w:b w:val="1"/>
          <w:bCs w:val="1"/>
          <w:i w:val="1"/>
          <w:iCs w:val="1"/>
          <w:color w:val="auto"/>
        </w:rPr>
        <w:t>Hong Kong Stock Exchange</w:t>
      </w:r>
      <w:r>
        <w:rPr>
          <w:rFonts w:ascii="Arial" w:cs="Arial" w:eastAsia="Arial" w:hAnsi="Arial"/>
          <w:sz w:val="17"/>
          <w:szCs w:val="17"/>
          <w:i w:val="1"/>
          <w:iCs w:val="1"/>
          <w:color w:val="auto"/>
        </w:rPr>
        <w:t>”)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173990</wp:posOffset>
            </wp:positionV>
            <wp:extent cx="1697355" cy="677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9735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27" w:lineRule="exact"/>
        <w:rPr>
          <w:sz w:val="20"/>
          <w:szCs w:val="20"/>
          <w:color w:val="auto"/>
        </w:rPr>
      </w:pPr>
    </w:p>
    <w:p>
      <w:pPr>
        <w:jc w:val="center"/>
        <w:ind w:right="-3"/>
        <w:spacing w:after="0" w:line="207" w:lineRule="exact"/>
        <w:rPr>
          <w:sz w:val="20"/>
          <w:szCs w:val="20"/>
          <w:color w:val="auto"/>
        </w:rPr>
      </w:pPr>
      <w:r>
        <w:rPr>
          <w:rFonts w:ascii="SimSun" w:cs="SimSun" w:eastAsia="SimSun" w:hAnsi="SimSun"/>
          <w:sz w:val="16"/>
          <w:szCs w:val="16"/>
          <w:b w:val="1"/>
          <w:bCs w:val="1"/>
          <w:color w:val="auto"/>
        </w:rPr>
        <w:t>新 东 方 教 育 科 技</w:t>
      </w:r>
      <w:r>
        <w:rPr>
          <w:rFonts w:ascii="Arial" w:cs="Arial" w:eastAsia="Arial" w:hAnsi="Arial"/>
          <w:sz w:val="18"/>
          <w:szCs w:val="18"/>
          <w:b w:val="1"/>
          <w:bCs w:val="1"/>
          <w:color w:val="auto"/>
        </w:rPr>
        <w:t xml:space="preserve"> ( </w:t>
      </w:r>
      <w:r>
        <w:rPr>
          <w:rFonts w:ascii="SimSun" w:cs="SimSun" w:eastAsia="SimSun" w:hAnsi="SimSun"/>
          <w:sz w:val="16"/>
          <w:szCs w:val="16"/>
          <w:b w:val="1"/>
          <w:bCs w:val="1"/>
          <w:color w:val="auto"/>
        </w:rPr>
        <w:t>集 团</w:t>
      </w:r>
      <w:r>
        <w:rPr>
          <w:rFonts w:ascii="Arial" w:cs="Arial" w:eastAsia="Arial" w:hAnsi="Arial"/>
          <w:sz w:val="18"/>
          <w:szCs w:val="18"/>
          <w:b w:val="1"/>
          <w:bCs w:val="1"/>
          <w:color w:val="auto"/>
        </w:rPr>
        <w:t xml:space="preserve"> ) </w:t>
      </w:r>
      <w:r>
        <w:rPr>
          <w:rFonts w:ascii="SimSun" w:cs="SimSun" w:eastAsia="SimSun" w:hAnsi="SimSun"/>
          <w:sz w:val="16"/>
          <w:szCs w:val="16"/>
          <w:b w:val="1"/>
          <w:bCs w:val="1"/>
          <w:color w:val="auto"/>
        </w:rPr>
        <w:t>有 限 公 司</w:t>
      </w:r>
      <w:r>
        <w:rPr>
          <w:rFonts w:ascii="Arial" w:cs="Arial" w:eastAsia="Arial" w:hAnsi="Arial"/>
          <w:sz w:val="18"/>
          <w:szCs w:val="18"/>
          <w:b w:val="1"/>
          <w:bCs w:val="1"/>
          <w:color w:val="auto"/>
        </w:rPr>
        <w:t xml:space="preserve"> *</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(continued in the Cayman Islands with limited liability)</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(Stock Code: 9901)</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RECORD DATE FOR</w:t>
      </w:r>
    </w:p>
    <w:p>
      <w:pPr>
        <w:spacing w:after="0" w:line="27"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207" w:lineRule="exact"/>
        <w:rPr>
          <w:sz w:val="20"/>
          <w:szCs w:val="20"/>
          <w:color w:val="auto"/>
        </w:rPr>
      </w:pPr>
    </w:p>
    <w:p>
      <w:pPr>
        <w:ind w:left="4" w:right="180"/>
        <w:spacing w:after="0" w:line="273" w:lineRule="auto"/>
        <w:rPr>
          <w:sz w:val="20"/>
          <w:szCs w:val="20"/>
          <w:color w:val="auto"/>
        </w:rPr>
      </w:pPr>
      <w:r>
        <w:rPr>
          <w:rFonts w:ascii="Arial" w:cs="Arial" w:eastAsia="Arial" w:hAnsi="Arial"/>
          <w:sz w:val="17"/>
          <w:szCs w:val="17"/>
          <w:color w:val="auto"/>
        </w:rPr>
        <w:t>Please note that the record date for determining the eligibility of the holders of our common shares with a par value of US$0.001 each (the “</w:t>
      </w:r>
      <w:r>
        <w:rPr>
          <w:rFonts w:ascii="Arial" w:cs="Arial" w:eastAsia="Arial" w:hAnsi="Arial"/>
          <w:sz w:val="17"/>
          <w:szCs w:val="17"/>
          <w:b w:val="1"/>
          <w:bCs w:val="1"/>
          <w:color w:val="auto"/>
        </w:rPr>
        <w:t>Common</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to attend our forthcoming annual general meeting of shareholders (the “</w:t>
      </w:r>
      <w:r>
        <w:rPr>
          <w:rFonts w:ascii="Arial" w:cs="Arial" w:eastAsia="Arial" w:hAnsi="Arial"/>
          <w:sz w:val="17"/>
          <w:szCs w:val="17"/>
          <w:b w:val="1"/>
          <w:bCs w:val="1"/>
          <w:color w:val="auto"/>
        </w:rPr>
        <w:t>General Meeting</w:t>
      </w:r>
      <w:r>
        <w:rPr>
          <w:rFonts w:ascii="Arial" w:cs="Arial" w:eastAsia="Arial" w:hAnsi="Arial"/>
          <w:sz w:val="17"/>
          <w:szCs w:val="17"/>
          <w:color w:val="auto"/>
        </w:rPr>
        <w:t>”) will be as of close of business on Monday,</w:t>
      </w:r>
      <w:r>
        <w:rPr>
          <w:rFonts w:ascii="Arial" w:cs="Arial" w:eastAsia="Arial" w:hAnsi="Arial"/>
          <w:sz w:val="17"/>
          <w:szCs w:val="17"/>
          <w:b w:val="1"/>
          <w:bCs w:val="1"/>
          <w:color w:val="auto"/>
        </w:rPr>
        <w:t xml:space="preserve"> </w:t>
      </w:r>
      <w:r>
        <w:rPr>
          <w:rFonts w:ascii="Arial" w:cs="Arial" w:eastAsia="Arial" w:hAnsi="Arial"/>
          <w:sz w:val="17"/>
          <w:szCs w:val="17"/>
          <w:color w:val="auto"/>
        </w:rPr>
        <w:t>October 30, 2023 (Hong Kong time) (the “</w:t>
      </w:r>
      <w:r>
        <w:rPr>
          <w:rFonts w:ascii="Arial" w:cs="Arial" w:eastAsia="Arial" w:hAnsi="Arial"/>
          <w:sz w:val="17"/>
          <w:szCs w:val="17"/>
          <w:b w:val="1"/>
          <w:bCs w:val="1"/>
          <w:color w:val="auto"/>
        </w:rPr>
        <w:t>Common Shares Record Date</w:t>
      </w:r>
      <w:r>
        <w:rPr>
          <w:rFonts w:ascii="Arial" w:cs="Arial" w:eastAsia="Arial" w:hAnsi="Arial"/>
          <w:sz w:val="17"/>
          <w:szCs w:val="17"/>
          <w:color w:val="auto"/>
        </w:rPr>
        <w:t>”). In order to be eligible to attend the General Meeting, all valid documents for the transfers of shares accompanied by the relevant share certificates must be lodged with the Company’s Hong Kong branch share registrar and transfer office, Computershare Hong Kong Investor Services Limited, Shops 1712–1716, 17th Floor, Hopewell Centre, 183 Queen’s Road East, Hong Kong, no later than 4:30 p.m. on Monday, October 30, 2023 (Hong Kong time). All persons who are registered holders of the Common Shares on the Common Shares Record Date will be entitled to attend the General Meeting.</w:t>
      </w:r>
    </w:p>
    <w:p>
      <w:pPr>
        <w:spacing w:after="0" w:line="176"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Holders of American depositary shares issued by Deutsche Bank Trust Company Americas, as depositary of the ADSs, and representing our Common Shares, may attend the General Meeting.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Details including the date and location of our General Meeting will be set out in our notice of General Meeting to be issued in due course.</w:t>
      </w:r>
    </w:p>
    <w:p>
      <w:pPr>
        <w:spacing w:after="0" w:line="252"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By order of the Board</w:t>
      </w:r>
    </w:p>
    <w:p>
      <w:pPr>
        <w:spacing w:after="0" w:line="23"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New Oriental Education &amp; Technology Group Inc.</w:t>
      </w:r>
    </w:p>
    <w:p>
      <w:pPr>
        <w:spacing w:after="0" w:line="9"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Mr. Michael Minhong Yu</w:t>
      </w:r>
    </w:p>
    <w:p>
      <w:pPr>
        <w:spacing w:after="0" w:line="9" w:lineRule="exact"/>
        <w:rPr>
          <w:sz w:val="20"/>
          <w:szCs w:val="20"/>
          <w:color w:val="auto"/>
        </w:rPr>
      </w:pPr>
    </w:p>
    <w:p>
      <w:pPr>
        <w:jc w:val="center"/>
        <w:ind w:left="6620"/>
        <w:spacing w:after="0"/>
        <w:rPr>
          <w:sz w:val="20"/>
          <w:szCs w:val="20"/>
          <w:color w:val="auto"/>
        </w:rPr>
      </w:pPr>
      <w:r>
        <w:rPr>
          <w:rFonts w:ascii="Arial" w:cs="Arial" w:eastAsia="Arial" w:hAnsi="Arial"/>
          <w:sz w:val="18"/>
          <w:szCs w:val="18"/>
          <w:i w:val="1"/>
          <w:iCs w:val="1"/>
          <w:color w:val="auto"/>
        </w:rPr>
        <w:t>Chairman</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Beijing, China, October 13,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As at the date of this announcement, the board of directors of the Company comprises Mr. Michael Minhong Yu, Mr. Chenggang Zhou and Mr. Louis 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Hsieh as directors and Mr. Robin Yanhong Li, Mr. Denny Lee and Mr. John Zhuang Yang as independent directors.</w:t>
      </w:r>
    </w:p>
    <w:p>
      <w:pPr>
        <w:spacing w:after="0" w:line="238"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for identification purposes only.</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2023-10-13T05:23:08Z</dcterms:created>
  <dcterms:modified xsi:type="dcterms:W3CDTF">2023-10-13T05:23:08Z</dcterms:modified>
</cp:coreProperties>
</file>