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Zhuge Yue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420 LEXINGTON AVE, SUITE 2446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10170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New Oriental Education &amp; Technology Group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EDU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5"/>
        <w:gridCol w:w="903"/>
        <w:gridCol w:w="772"/>
        <w:gridCol w:w="600"/>
        <w:gridCol w:w="352"/>
        <w:gridCol w:w="857"/>
        <w:gridCol w:w="463"/>
        <w:gridCol w:w="759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7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ADS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3,000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3,000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ADS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830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49.91</w:t>
            </w:r>
            <w:r>
              <w:rPr/>
              <w:t xml:space="preserve"> 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2,170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69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516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69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19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5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30,000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5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ADS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ADSs, each representing ten underlying common shares, were acquired upon vesting and settlement of restricted share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ADSs sold pursuant to a sell-to-cover arrangement for the purpose of satisfying income tax liabilities incurred upon vesting of restricted share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Each restricted share unit represents a contingent right to receive 1/10 ADS of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These restricted shares units were vested on July 15, 2026 and do not have an expiration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Zhuge Yue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38003" TargetMode="External"/><Relationship Id="rId5" Type="http://schemas.openxmlformats.org/officeDocument/2006/relationships/hyperlink" Target="http://www.sec.gov/cgi-bin/browse-edgar?action=getcompany&amp;CIK=00013729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658</Words>
  <Characters>3526</Characters>
  <CharactersWithSpaces>4108</CharactersWithSpaces>
  <Paragraphs>117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