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5502d6k.htm"/>
      <w:bookmarkStart w:id="1" w:name="ksd17550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001-32993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NEW ORIENTAL EDUCATION &amp; TECHNOLOGY GROUP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100080,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240" w:after="0"/>
        <w:jc w:val="left"/>
        <w:rPr/>
      </w:pPr>
      <w:r>
        <w:rPr>
          <w:rFonts w:ascii="Times New Roman" w:hAnsi="Times New Roman"/>
          <w:sz w:val="20"/>
        </w:rPr>
        <w:t xml:space="preserve">Exhibit 99.1 – </w:t>
      </w:r>
      <w:hyperlink w:anchor="d175502dex991.htm">
        <w:r>
          <w:rPr>
            <w:rStyle w:val="InternetLink"/>
            <w:rFonts w:ascii="Times New Roman" w:hAnsi="Times New Roman"/>
            <w:sz w:val="20"/>
          </w:rPr>
          <w:t xml:space="preserve">Press Release </w:t>
        </w:r>
      </w:hyperlink>
    </w:p>
    <w:p>
      <w:pPr>
        <w:pStyle w:val="TextBody"/>
        <w:bidi w:val="0"/>
        <w:spacing w:before="240" w:after="0"/>
        <w:jc w:val="left"/>
        <w:rPr/>
      </w:pPr>
      <w:r>
        <w:rPr>
          <w:rFonts w:ascii="Times New Roman" w:hAnsi="Times New Roman"/>
          <w:sz w:val="20"/>
        </w:rPr>
        <w:t xml:space="preserve">Exhibit 99.2 – </w:t>
      </w:r>
      <w:hyperlink w:anchor="d175502dex992.htm">
        <w:r>
          <w:rPr>
            <w:rStyle w:val="InternetLink"/>
            <w:rFonts w:ascii="Times New Roman" w:hAnsi="Times New Roman"/>
            <w:sz w:val="20"/>
          </w:rPr>
          <w:t xml:space="preserve">Notice of Annual General Meeting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 Oriental Education &amp; Technology Group Inc.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tcPr>
          <w:p>
            <w:pPr>
              <w:pStyle w:val="TableContents"/>
              <w:bidi w:val="0"/>
              <w:spacing w:before="0" w:after="283"/>
              <w:jc w:val="left"/>
              <w:rPr/>
            </w:pPr>
            <w:r>
              <w:rPr/>
              <w:t>/s/ Stephen Zhihui Yang</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Stephen Zhihui Yang</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Executive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8, 2026 </w:t>
      </w:r>
    </w:p>
    <w:p>
      <w:pPr>
        <w:pStyle w:val="TextBody"/>
        <w:bidi w:val="0"/>
        <w:spacing w:before="0" w:after="0"/>
        <w:jc w:val="right"/>
        <w:rPr>
          <w:rFonts w:ascii="Times New Roman" w:hAnsi="Times New Roman"/>
          <w:b/>
          <w:sz w:val="20"/>
        </w:rPr>
      </w:pPr>
      <w:bookmarkStart w:id="2" w:name="d175502dex991.htm"/>
      <w:bookmarkStart w:id="3" w:name="ksd175502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New Oriental to Hold Annual General Meeting on November 13, 2026 </w:t>
      </w:r>
    </w:p>
    <w:p>
      <w:pPr>
        <w:pStyle w:val="TextBody"/>
        <w:bidi w:val="0"/>
        <w:spacing w:before="240" w:after="0"/>
        <w:jc w:val="left"/>
        <w:rPr>
          <w:rFonts w:ascii="Times New Roman" w:hAnsi="Times New Roman"/>
          <w:sz w:val="20"/>
        </w:rPr>
      </w:pPr>
      <w:r>
        <w:rPr>
          <w:rFonts w:ascii="Times New Roman" w:hAnsi="Times New Roman"/>
          <w:sz w:val="20"/>
        </w:rPr>
        <w:t xml:space="preserve">BEIJING, Oct. 8, 2026 /PRNewswire/—New Oriental Education &amp; Technology Group Inc. (“New Oriental” or the “Company”) (NYSE: EDU and SEHK: 9901), a provider of private educational services in China, today announced that it will hold its annual general meeting of shareholders at No. 6 Hai Dian Zhong Street, Haidian District, Beijing, People’s Republic of China, on November 13, 2026 at 5:00 p.m. (local time). </w:t>
      </w:r>
    </w:p>
    <w:p>
      <w:pPr>
        <w:pStyle w:val="TextBody"/>
        <w:bidi w:val="0"/>
        <w:spacing w:before="240" w:after="0"/>
        <w:jc w:val="left"/>
        <w:rPr>
          <w:rFonts w:ascii="Times New Roman" w:hAnsi="Times New Roman"/>
          <w:sz w:val="20"/>
        </w:rPr>
      </w:pPr>
      <w:r>
        <w:rPr>
          <w:rFonts w:ascii="Times New Roman" w:hAnsi="Times New Roman"/>
          <w:sz w:val="20"/>
        </w:rPr>
        <w:t xml:space="preserve">No proposal will be submitted for shareholder approval at the annual general meeting. Instead, the annual general meeting will serve as an open forum for shareholders of record and beneficial owners of the Company’s American depositary shares (“ADSs”) to discuss Company affairs with management.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has fixed the close of business on October 23, 2026 (Beijing time) as the record date (the “</w:t>
      </w:r>
      <w:r>
        <w:rPr>
          <w:rFonts w:ascii="Times New Roman" w:hAnsi="Times New Roman"/>
          <w:b/>
          <w:sz w:val="20"/>
        </w:rPr>
        <w:t>Record Date</w:t>
      </w:r>
      <w:r>
        <w:rPr>
          <w:rFonts w:ascii="Times New Roman" w:hAnsi="Times New Roman"/>
          <w:sz w:val="20"/>
        </w:rPr>
        <w:t xml:space="preserve">”) for determining the shareholders entitled to receive notice of the annual general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Holders of record of the Company’s common shares at the close of business on the Record Date are entitled to attend the annual general meeting and any adjournment or postponement thereof in person. Beneficial owners of the Company’s ADSs are welcome to attend the annual general meeting in person.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its annual report on Form 20-F, including its audited financial statements, for the fiscal year ended May 31, 2026, with the U.S. Securities and Exchange Commission. The Form 20-F can be accessed on the Company’s website at http://investor.neworiental.org, as well as on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published its annual report for Hong Kong purposes pursuant to the Rules Governing the Listing of Securities on The Stock Exchange of Hong Kong Limited (“HKEX”), which can be accessed on the Company’s investor relations website at http://investor.neworiental.org as well as the HKEX’s website at http://www.hkexnews.hk. </w:t>
      </w:r>
    </w:p>
    <w:p>
      <w:pPr>
        <w:pStyle w:val="TextBody"/>
        <w:bidi w:val="0"/>
        <w:spacing w:before="360" w:after="0"/>
        <w:jc w:val="left"/>
        <w:rPr>
          <w:rFonts w:ascii="Times New Roman" w:hAnsi="Times New Roman"/>
          <w:b/>
          <w:sz w:val="20"/>
        </w:rPr>
      </w:pPr>
      <w:r>
        <w:rPr>
          <w:rFonts w:ascii="Times New Roman" w:hAnsi="Times New Roman"/>
          <w:b/>
          <w:sz w:val="20"/>
        </w:rPr>
        <w:t xml:space="preserve">About New Oriental </w:t>
      </w:r>
    </w:p>
    <w:p>
      <w:pPr>
        <w:pStyle w:val="TextBody"/>
        <w:bidi w:val="0"/>
        <w:spacing w:before="120" w:after="0"/>
        <w:jc w:val="left"/>
        <w:rPr>
          <w:rFonts w:ascii="Times New Roman" w:hAnsi="Times New Roman"/>
          <w:sz w:val="20"/>
        </w:rPr>
      </w:pPr>
      <w:r>
        <w:rPr>
          <w:rFonts w:ascii="Times New Roman" w:hAnsi="Times New Roman"/>
          <w:sz w:val="20"/>
        </w:rPr>
        <w:t xml:space="preserve">New Oriental is a provider of private educational services in China offering a wide range of educational programs, services and products to a varied student population throughout China. New Oriental’s program, service and product offerings mainly consist of educational services and test preparation courses, private label products and livestreaming e-commerce, overseas study consulting services, and educational materials and distribution. New Oriental is listed on NYSE (NYSE: EDU) and SEHK (9901.SEHK), respectively. New Oriental’s ADSs, each of which represents ten common shares, are listed and traded on the NYSE. The Hong Kong-listed shares are fully fungible with the ADSs listed on NYSE.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New Oriental, please visit http://www.neworiental.org/english/.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investor and media inquiries,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Ms. Rita Fong </w:t>
      </w:r>
    </w:p>
    <w:p>
      <w:pPr>
        <w:pStyle w:val="TextBody"/>
        <w:bidi w:val="0"/>
        <w:spacing w:before="0" w:after="0"/>
        <w:jc w:val="left"/>
        <w:rPr>
          <w:rFonts w:ascii="Times New Roman" w:hAnsi="Times New Roman"/>
          <w:sz w:val="20"/>
        </w:rPr>
      </w:pPr>
      <w:r>
        <w:rPr>
          <w:rFonts w:ascii="Times New Roman" w:hAnsi="Times New Roman"/>
          <w:sz w:val="20"/>
        </w:rPr>
        <w:t xml:space="preserve">FTI Consulting </w:t>
      </w:r>
    </w:p>
    <w:p>
      <w:pPr>
        <w:pStyle w:val="TextBody"/>
        <w:bidi w:val="0"/>
        <w:spacing w:before="0" w:after="0"/>
        <w:jc w:val="left"/>
        <w:rPr>
          <w:rFonts w:ascii="Times New Roman" w:hAnsi="Times New Roman"/>
          <w:sz w:val="20"/>
        </w:rPr>
      </w:pPr>
      <w:r>
        <w:rPr>
          <w:rFonts w:ascii="Times New Roman" w:hAnsi="Times New Roman"/>
          <w:sz w:val="20"/>
        </w:rPr>
        <w:t xml:space="preserve">Tel: +852 3768 4548 </w:t>
      </w:r>
    </w:p>
    <w:p>
      <w:pPr>
        <w:pStyle w:val="TextBody"/>
        <w:bidi w:val="0"/>
        <w:spacing w:before="0" w:after="0"/>
        <w:jc w:val="left"/>
        <w:rPr>
          <w:rFonts w:ascii="Times New Roman" w:hAnsi="Times New Roman"/>
          <w:sz w:val="20"/>
        </w:rPr>
      </w:pPr>
      <w:r>
        <w:rPr>
          <w:rFonts w:ascii="Times New Roman" w:hAnsi="Times New Roman"/>
          <w:sz w:val="20"/>
        </w:rPr>
        <w:t xml:space="preserve">Email: rita.fong@fticonsulting.com </w:t>
      </w:r>
    </w:p>
    <w:p>
      <w:pPr>
        <w:pStyle w:val="TextBody"/>
        <w:bidi w:val="0"/>
        <w:spacing w:before="240" w:after="0"/>
        <w:jc w:val="left"/>
        <w:rPr>
          <w:rFonts w:ascii="Times New Roman" w:hAnsi="Times New Roman"/>
          <w:sz w:val="20"/>
        </w:rPr>
      </w:pPr>
      <w:r>
        <w:rPr>
          <w:rFonts w:ascii="Times New Roman" w:hAnsi="Times New Roman"/>
          <w:sz w:val="20"/>
        </w:rPr>
        <w:t xml:space="preserve">Ms. Sisi Zhao </w:t>
      </w:r>
    </w:p>
    <w:p>
      <w:pPr>
        <w:pStyle w:val="TextBody"/>
        <w:bidi w:val="0"/>
        <w:spacing w:before="0" w:after="0"/>
        <w:jc w:val="left"/>
        <w:rPr>
          <w:rFonts w:ascii="Times New Roman" w:hAnsi="Times New Roman"/>
          <w:sz w:val="20"/>
        </w:rPr>
      </w:pPr>
      <w:r>
        <w:rPr>
          <w:rFonts w:ascii="Times New Roman" w:hAnsi="Times New Roman"/>
          <w:sz w:val="20"/>
        </w:rPr>
        <w:t xml:space="preserve">New Oriental Education &amp; Technology Group Inc. </w:t>
      </w:r>
    </w:p>
    <w:p>
      <w:pPr>
        <w:pStyle w:val="TextBody"/>
        <w:bidi w:val="0"/>
        <w:spacing w:before="0" w:after="0"/>
        <w:jc w:val="left"/>
        <w:rPr>
          <w:rFonts w:ascii="Times New Roman" w:hAnsi="Times New Roman"/>
          <w:sz w:val="20"/>
        </w:rPr>
      </w:pPr>
      <w:r>
        <w:rPr>
          <w:rFonts w:ascii="Times New Roman" w:hAnsi="Times New Roman"/>
          <w:sz w:val="20"/>
        </w:rPr>
        <w:t xml:space="preserve">Tel: +86-10-6260-5568 </w:t>
      </w:r>
    </w:p>
    <w:p>
      <w:pPr>
        <w:pStyle w:val="TextBody"/>
        <w:bidi w:val="0"/>
        <w:spacing w:before="0" w:after="0"/>
        <w:jc w:val="left"/>
        <w:rPr>
          <w:rFonts w:ascii="Times New Roman" w:hAnsi="Times New Roman"/>
          <w:sz w:val="20"/>
        </w:rPr>
      </w:pPr>
      <w:r>
        <w:rPr>
          <w:rFonts w:ascii="Times New Roman" w:hAnsi="Times New Roman"/>
          <w:sz w:val="20"/>
        </w:rPr>
        <w:t xml:space="preserve">Email: zhaosisi@xdf.cn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175502dex992.htm"/>
      <w:bookmarkStart w:id="5" w:name="ksd175502dex992"/>
      <w:bookmarkEnd w:id="4"/>
      <w:bookmarkEnd w:id="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(NYSE: EDU and SEHK: 9901)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GENERAL MEETING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November 13, 2026 </w:t>
      </w:r>
    </w:p>
    <w:p>
      <w:pPr>
        <w:pStyle w:val="TextBody"/>
        <w:bidi w:val="0"/>
        <w:spacing w:before="0" w:after="0"/>
        <w:jc w:val="center"/>
        <w:rPr>
          <w:rFonts w:ascii="Times New Roman" w:hAnsi="Times New Roman"/>
          <w:sz w:val="20"/>
        </w:rPr>
      </w:pPr>
      <w:r>
        <w:rPr>
          <w:rFonts w:ascii="Times New Roman" w:hAnsi="Times New Roman"/>
          <w:sz w:val="20"/>
        </w:rPr>
        <w:t xml:space="preserve">(or any adjourned or postponed meeting thereof) </w:t>
      </w:r>
    </w:p>
    <w:p>
      <w:pPr>
        <w:pStyle w:val="TextBody"/>
        <w:bidi w:val="0"/>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an annual general meeting (the “AGM”) of New Oriental Education &amp; Technology Group Inc. (the “Company”) will be held at No. 6 Hai Dian Zhong Street, Haidian District, Beijing, People’s Republic of China, on November 13, 2026 at 5:00 p.m. (local time). No proposal will be submitted for shareholder approval at the AGM. Instead, the AGM will serve as an open forum for shareholders of record and beneficial owners of the Company’s American Depositary Shares (“ADSs”) to discuss Company affairs with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has fixed the close of business on October 23, 2026 (local time) as the record date (the “Record Date”) for determining the shareholders entitled to receive notice of the AGM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Holders of record of the Company’s common shares at the close of business on the Record Date are entitled to attend the AGM and any adjournment or postponement thereof in person. Beneficial owners of the Company’s ADSs are welcome to attend the AGM in person. </w:t>
      </w:r>
    </w:p>
    <w:p>
      <w:pPr>
        <w:pStyle w:val="TextBody"/>
        <w:bidi w:val="0"/>
        <w:spacing w:before="240" w:after="0"/>
        <w:jc w:val="left"/>
        <w:rPr>
          <w:rFonts w:ascii="Times New Roman" w:hAnsi="Times New Roman"/>
          <w:sz w:val="20"/>
        </w:rPr>
      </w:pPr>
      <w:r>
        <w:rPr>
          <w:rFonts w:ascii="Times New Roman" w:hAnsi="Times New Roman"/>
          <w:sz w:val="20"/>
        </w:rPr>
        <w:t xml:space="preserve">Shareholders and ADS holders may obtain a copy of the Company’s annual report on Form 20-F and/or Hong Kong annual report, free of charge, from the Company’s website at investor.neworiental.org, from SEC’s website at </w:t>
      </w:r>
      <w:r>
        <w:rPr>
          <w:rFonts w:ascii="Times New Roman" w:hAnsi="Times New Roman"/>
          <w:sz w:val="20"/>
          <w:u w:val="single"/>
        </w:rPr>
        <w:t>www.sec.gov</w:t>
      </w:r>
      <w:r>
        <w:rPr>
          <w:rFonts w:ascii="Times New Roman" w:hAnsi="Times New Roman"/>
          <w:sz w:val="20"/>
        </w:rPr>
        <w:t xml:space="preserve"> (for the annual report on Form 20-F) or the website of The Stock Exchange of Hong Kong Limited at </w:t>
      </w:r>
      <w:r>
        <w:rPr>
          <w:rFonts w:ascii="Times New Roman" w:hAnsi="Times New Roman"/>
          <w:sz w:val="20"/>
          <w:u w:val="single"/>
        </w:rPr>
        <w:t>www.hkexnews.hk</w:t>
      </w:r>
      <w:r>
        <w:rPr>
          <w:rFonts w:ascii="Times New Roman" w:hAnsi="Times New Roman"/>
          <w:sz w:val="20"/>
        </w:rPr>
        <w:t xml:space="preserve"> (for the Hong Kong annual report).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c>
          <w:tcPr>
            <w:tcW w:w="4082" w:type="dxa"/>
            <w:tcBorders/>
          </w:tcPr>
          <w:p>
            <w:pPr>
              <w:pStyle w:val="TableContents"/>
              <w:bidi w:val="0"/>
              <w:spacing w:before="0" w:after="283"/>
              <w:jc w:val="left"/>
              <w:rPr>
                <w:b/>
              </w:rPr>
            </w:pPr>
            <w:r>
              <w:rPr>
                <w:b/>
              </w:rPr>
              <w:t>New Oriental Education &amp; Technology Group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Michael Minhong Yu</w:t>
            </w:r>
          </w:p>
        </w:tc>
      </w:tr>
      <w:tr>
        <w:trPr/>
        <w:tc>
          <w:tcPr>
            <w:tcW w:w="4082" w:type="dxa"/>
            <w:tcBorders/>
          </w:tcPr>
          <w:p>
            <w:pPr>
              <w:pStyle w:val="TableContents"/>
              <w:bidi w:val="0"/>
              <w:spacing w:before="0" w:after="283"/>
              <w:jc w:val="left"/>
              <w:rPr/>
            </w:pPr>
            <w:r>
              <w:rPr/>
              <w:t>Michael Minhong Yu</w:t>
            </w:r>
          </w:p>
        </w:tc>
      </w:tr>
      <w:tr>
        <w:trPr/>
        <w:tc>
          <w:tcPr>
            <w:tcW w:w="4082" w:type="dxa"/>
            <w:tcBorders/>
          </w:tcPr>
          <w:p>
            <w:pPr>
              <w:pStyle w:val="TableContents"/>
              <w:bidi w:val="0"/>
              <w:spacing w:before="0" w:after="283"/>
              <w:jc w:val="left"/>
              <w:rPr/>
            </w:pPr>
            <w:r>
              <w:rPr/>
              <w:t>Executive Chairman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1"/>
        <w:gridCol w:w="120"/>
        <w:gridCol w:w="4904"/>
      </w:tblGrid>
      <w:tr>
        <w:trPr/>
        <w:tc>
          <w:tcPr>
            <w:tcW w:w="51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4" w:type="dxa"/>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0"/>
              <w:jc w:val="left"/>
              <w:rPr>
                <w:rFonts w:ascii="Times New Roman" w:hAnsi="Times New Roman"/>
                <w:sz w:val="20"/>
              </w:rPr>
            </w:pPr>
            <w:r>
              <w:rPr>
                <w:rFonts w:ascii="Times New Roman" w:hAnsi="Times New Roman"/>
                <w:i/>
                <w:sz w:val="20"/>
              </w:rPr>
              <w:t>Executive Office</w:t>
            </w: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No. 6 Hai Dian Zhong Street</w:t>
            </w:r>
          </w:p>
          <w:p>
            <w:pPr>
              <w:pStyle w:val="TableContents"/>
              <w:bidi w:val="0"/>
              <w:spacing w:before="0" w:after="0"/>
              <w:jc w:val="left"/>
              <w:rPr>
                <w:rFonts w:ascii="Times New Roman" w:hAnsi="Times New Roman"/>
                <w:sz w:val="20"/>
              </w:rPr>
            </w:pPr>
            <w:r>
              <w:rPr>
                <w:rFonts w:ascii="Times New Roman" w:hAnsi="Times New Roman"/>
                <w:sz w:val="20"/>
              </w:rPr>
              <w:t>Haidian District, Beijing</w:t>
            </w:r>
          </w:p>
          <w:p>
            <w:pPr>
              <w:pStyle w:val="TableContents"/>
              <w:bidi w:val="0"/>
              <w:spacing w:before="0" w:after="20"/>
              <w:jc w:val="left"/>
              <w:rPr>
                <w:rFonts w:ascii="Times New Roman" w:hAnsi="Times New Roman"/>
                <w:sz w:val="20"/>
              </w:rPr>
            </w:pPr>
            <w:r>
              <w:rPr>
                <w:rFonts w:ascii="Times New Roman" w:hAnsi="Times New Roman"/>
                <w:sz w:val="20"/>
              </w:rPr>
              <w:t>People’s Republic of China</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0"/>
              <w:jc w:val="left"/>
              <w:rPr>
                <w:rFonts w:ascii="Times New Roman" w:hAnsi="Times New Roman"/>
                <w:sz w:val="20"/>
              </w:rPr>
            </w:pPr>
            <w:r>
              <w:rPr>
                <w:rFonts w:ascii="Times New Roman" w:hAnsi="Times New Roman"/>
                <w:i/>
                <w:sz w:val="20"/>
              </w:rPr>
              <w:t>Registered Office</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Conyers Trust Company (Cayman) Limited, Cricket Square, Hutchins Drive, P.O. Box 2681, Grand Cayman KY1-1111, Cayman Islands</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966</Words>
  <Characters>5268</Characters>
  <CharactersWithSpaces>6247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