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260" w:right="20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001-32993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32"/>
          <w:szCs w:val="32"/>
          <w:b w:val="1"/>
          <w:bCs w:val="1"/>
          <w:color w:val="auto"/>
        </w:rPr>
        <w:t>NEW ORIENTAL EDUCATION &amp;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No. 6 Hai Dian Zhong Street</w:t>
      </w:r>
    </w:p>
    <w:p>
      <w:pPr>
        <w:spacing w:after="0" w:line="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Haidian District</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Beijing 100080,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00"/>
          </w:cols>
          <w:pgMar w:left="440" w:top="376" w:right="1259" w:bottom="1440" w:gutter="0" w:footer="0" w:header="0"/>
        </w:sectPr>
      </w:pPr>
    </w:p>
    <w:bookmarkStart w:id="1" w:name="page2"/>
    <w:bookmarkEnd w:id="1"/>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Exhibit 99.1 – </w:t>
      </w:r>
      <w:r>
        <w:rPr>
          <w:rFonts w:ascii="Times New Roman" w:cs="Times New Roman" w:eastAsia="Times New Roman" w:hAnsi="Times New Roman"/>
          <w:sz w:val="17"/>
          <w:szCs w:val="17"/>
          <w:u w:val="single" w:color="auto"/>
          <w:color w:val="0000EE"/>
        </w:rPr>
        <w:t>Press Release – New Oriental Announces Results for the Third Fiscal Quarter Ended February 28, 2026</w:t>
      </w:r>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New Oriental Education &amp; Technology Group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Stephen Zhihui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Stephen Zhihui Yang</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Executive President and 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2026</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New Oriental Announces Results for the Third Fiscal Quarter Ended February 28, 2026</w:t>
      </w:r>
    </w:p>
    <w:p>
      <w:pPr>
        <w:spacing w:after="0" w:line="144" w:lineRule="exact"/>
        <w:rPr>
          <w:sz w:val="20"/>
          <w:szCs w:val="20"/>
          <w:color w:val="auto"/>
        </w:rPr>
      </w:pPr>
    </w:p>
    <w:p>
      <w:pPr>
        <w:jc w:val="both"/>
        <w:ind w:left="4" w:right="520"/>
        <w:spacing w:after="0" w:line="268" w:lineRule="auto"/>
        <w:rPr>
          <w:sz w:val="20"/>
          <w:szCs w:val="20"/>
          <w:color w:val="auto"/>
        </w:rPr>
      </w:pPr>
      <w:r>
        <w:rPr>
          <w:rFonts w:ascii="Times New Roman" w:cs="Times New Roman" w:eastAsia="Times New Roman" w:hAnsi="Times New Roman"/>
          <w:sz w:val="18"/>
          <w:szCs w:val="18"/>
          <w:color w:val="auto"/>
        </w:rPr>
        <w:t xml:space="preserve">BEIJING, April 22, 2026 /PRNewswire/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New Oriental Education &amp; Technology Group Inc. (the “Company” or “New Oriental”) (NYSE: EDU/ 9901.SEHK), a provider of private educational services in China, today announced its unaudited financial results for the third fiscal quarter ended February 28, 2026, which is the third quarter of New Oriental’s fiscal year 2026.</w:t>
      </w:r>
    </w:p>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 for the Third Fiscal Quarter Ended February 28, 2026</w:t>
      </w:r>
    </w:p>
    <w:p>
      <w:pPr>
        <w:spacing w:after="0" w:line="94" w:lineRule="exact"/>
        <w:rPr>
          <w:sz w:val="20"/>
          <w:szCs w:val="20"/>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revenues increased by 19.8% year over year to US$1,417.3 million for the third fiscal quarter of 2026.</w:t>
      </w:r>
    </w:p>
    <w:p>
      <w:pPr>
        <w:spacing w:after="0" w:line="9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by 44.8% year over year to US$180.3 million for the third fiscal quarter of 2026.</w:t>
      </w:r>
    </w:p>
    <w:p>
      <w:pPr>
        <w:spacing w:after="0" w:line="9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New Oriental increased by 45.3% year over year to US$126.8 million for the third fiscal quarter of 2026.</w:t>
      </w: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14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(in thousands </w:t>
            </w: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 except per ADS</w:t>
            </w:r>
            <w:r>
              <w:rPr>
                <w:rFonts w:ascii="Times New Roman" w:cs="Times New Roman" w:eastAsia="Times New Roman" w:hAnsi="Times New Roman"/>
                <w:sz w:val="10"/>
                <w:szCs w:val="10"/>
                <w:color w:val="auto"/>
              </w:rPr>
              <w:t>(1)</w:t>
            </w:r>
            <w:r>
              <w:rPr>
                <w:rFonts w:ascii="Times New Roman" w:cs="Times New Roman" w:eastAsia="Times New Roman" w:hAnsi="Times New Roman"/>
                <w:sz w:val="14"/>
                <w:szCs w:val="14"/>
                <w:color w:val="auto"/>
              </w:rPr>
              <w:t xml:space="preserve"> data)</w:t>
            </w:r>
          </w:p>
        </w:tc>
        <w:tc>
          <w:tcPr>
            <w:tcW w:w="3900" w:type="dxa"/>
            <w:vAlign w:val="bottom"/>
            <w:vMerge w:val="restart"/>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3Q FY2026</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3Q FY2025</w:t>
            </w:r>
          </w:p>
        </w:tc>
        <w:tc>
          <w:tcPr>
            <w:tcW w:w="320" w:type="dxa"/>
            <w:vAlign w:val="bottom"/>
          </w:tcPr>
          <w:p>
            <w:pPr>
              <w:spacing w:after="0"/>
              <w:rPr>
                <w:sz w:val="13"/>
                <w:szCs w:val="13"/>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65"/>
        </w:trPr>
        <w:tc>
          <w:tcPr>
            <w:tcW w:w="2520" w:type="dxa"/>
            <w:vAlign w:val="bottom"/>
            <w:tcBorders>
              <w:bottom w:val="single" w:sz="8" w:color="auto"/>
            </w:tcBorders>
            <w:vMerge w:val="continue"/>
          </w:tcPr>
          <w:p>
            <w:pPr>
              <w:spacing w:after="0"/>
              <w:rPr>
                <w:sz w:val="13"/>
                <w:szCs w:val="13"/>
                <w:color w:val="auto"/>
              </w:rPr>
            </w:pPr>
          </w:p>
        </w:tc>
        <w:tc>
          <w:tcPr>
            <w:tcW w:w="390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960" w:type="dxa"/>
            <w:vAlign w:val="bottom"/>
            <w:gridSpan w:val="3"/>
          </w:tcPr>
          <w:p>
            <w:pPr>
              <w:jc w:val="center"/>
              <w:ind w:left="12"/>
              <w:spacing w:after="0" w:line="160" w:lineRule="exact"/>
              <w:rPr>
                <w:sz w:val="20"/>
                <w:szCs w:val="20"/>
                <w:color w:val="auto"/>
              </w:rPr>
            </w:pPr>
            <w:r>
              <w:rPr>
                <w:rFonts w:ascii="Times New Roman" w:cs="Times New Roman" w:eastAsia="Times New Roman" w:hAnsi="Times New Roman"/>
                <w:sz w:val="14"/>
                <w:szCs w:val="14"/>
                <w:b w:val="1"/>
                <w:bCs w:val="1"/>
                <w:color w:val="auto"/>
                <w:w w:val="99"/>
              </w:rPr>
              <w:t>change</w:t>
            </w:r>
          </w:p>
        </w:tc>
        <w:tc>
          <w:tcPr>
            <w:tcW w:w="0" w:type="dxa"/>
            <w:vAlign w:val="bottom"/>
          </w:tcPr>
          <w:p>
            <w:pPr>
              <w:spacing w:after="0"/>
              <w:rPr>
                <w:sz w:val="1"/>
                <w:szCs w:val="1"/>
                <w:color w:val="auto"/>
              </w:rPr>
            </w:pPr>
          </w:p>
        </w:tc>
      </w:tr>
      <w:tr>
        <w:trPr>
          <w:trHeight w:val="20"/>
        </w:trPr>
        <w:tc>
          <w:tcPr>
            <w:tcW w:w="64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2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1,417,341</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1,183,055</w:t>
            </w:r>
          </w:p>
        </w:tc>
        <w:tc>
          <w:tcPr>
            <w:tcW w:w="32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124,519</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operating income </w:t>
            </w:r>
            <w:r>
              <w:rPr>
                <w:rFonts w:ascii="Times New Roman" w:cs="Times New Roman" w:eastAsia="Times New Roman" w:hAnsi="Times New Roman"/>
                <w:sz w:val="25"/>
                <w:szCs w:val="25"/>
                <w:color w:val="auto"/>
                <w:vertAlign w:val="superscript"/>
              </w:rPr>
              <w:t>(2)(3)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202,885</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142,056</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New Oriental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126,815</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87,255</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net income attributable to New Oriental </w:t>
            </w:r>
            <w:r>
              <w:rPr>
                <w:rFonts w:ascii="Times New Roman" w:cs="Times New Roman" w:eastAsia="Times New Roman" w:hAnsi="Times New Roman"/>
                <w:sz w:val="25"/>
                <w:szCs w:val="25"/>
                <w:color w:val="auto"/>
                <w:vertAlign w:val="superscript"/>
              </w:rPr>
              <w:t>(2)(3)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152,183</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113,344</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ADS attributable to New Oriental - basic</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ADS attributable to New Oriental - diluted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net income per ADS attributable to New Oriental - basic </w:t>
            </w:r>
            <w:r>
              <w:rPr>
                <w:rFonts w:ascii="Times New Roman" w:cs="Times New Roman" w:eastAsia="Times New Roman" w:hAnsi="Times New Roman"/>
                <w:sz w:val="25"/>
                <w:szCs w:val="25"/>
                <w:color w:val="auto"/>
                <w:vertAlign w:val="superscript"/>
              </w:rPr>
              <w:t>(2)(3)(4)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net income per ADS attributable to New Oriental - diluted </w:t>
            </w:r>
            <w:r>
              <w:rPr>
                <w:rFonts w:ascii="Times New Roman" w:cs="Times New Roman" w:eastAsia="Times New Roman" w:hAnsi="Times New Roman"/>
                <w:sz w:val="25"/>
                <w:szCs w:val="25"/>
                <w:color w:val="auto"/>
                <w:vertAlign w:val="superscript"/>
              </w:rPr>
              <w:t>(2)(3)(4)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9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(in thousands </w:t>
            </w: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 except per ADS</w:t>
            </w:r>
            <w:r>
              <w:rPr>
                <w:rFonts w:ascii="Times New Roman" w:cs="Times New Roman" w:eastAsia="Times New Roman" w:hAnsi="Times New Roman"/>
                <w:sz w:val="10"/>
                <w:szCs w:val="10"/>
                <w:color w:val="auto"/>
              </w:rPr>
              <w:t>(1)</w:t>
            </w:r>
            <w:r>
              <w:rPr>
                <w:rFonts w:ascii="Times New Roman" w:cs="Times New Roman" w:eastAsia="Times New Roman" w:hAnsi="Times New Roman"/>
                <w:sz w:val="14"/>
                <w:szCs w:val="14"/>
                <w:color w:val="auto"/>
              </w:rPr>
              <w:t xml:space="preserve"> data)</w:t>
            </w:r>
          </w:p>
        </w:tc>
        <w:tc>
          <w:tcPr>
            <w:tcW w:w="3900" w:type="dxa"/>
            <w:vAlign w:val="bottom"/>
            <w:vMerge w:val="restart"/>
          </w:tcPr>
          <w:p>
            <w:pPr>
              <w:spacing w:after="0"/>
              <w:rPr>
                <w:sz w:val="24"/>
                <w:szCs w:val="24"/>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9M FY2026</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9M FY2025</w:t>
            </w:r>
          </w:p>
        </w:tc>
        <w:tc>
          <w:tcPr>
            <w:tcW w:w="320" w:type="dxa"/>
            <w:vAlign w:val="bottom"/>
          </w:tcPr>
          <w:p>
            <w:pPr>
              <w:spacing w:after="0"/>
              <w:rPr>
                <w:sz w:val="24"/>
                <w:szCs w:val="24"/>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65"/>
        </w:trPr>
        <w:tc>
          <w:tcPr>
            <w:tcW w:w="2520" w:type="dxa"/>
            <w:vAlign w:val="bottom"/>
            <w:tcBorders>
              <w:bottom w:val="single" w:sz="8" w:color="auto"/>
            </w:tcBorders>
            <w:vMerge w:val="continue"/>
          </w:tcPr>
          <w:p>
            <w:pPr>
              <w:spacing w:after="0"/>
              <w:rPr>
                <w:sz w:val="13"/>
                <w:szCs w:val="13"/>
                <w:color w:val="auto"/>
              </w:rPr>
            </w:pPr>
          </w:p>
        </w:tc>
        <w:tc>
          <w:tcPr>
            <w:tcW w:w="390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960" w:type="dxa"/>
            <w:vAlign w:val="bottom"/>
            <w:gridSpan w:val="3"/>
          </w:tcPr>
          <w:p>
            <w:pPr>
              <w:jc w:val="center"/>
              <w:ind w:left="12"/>
              <w:spacing w:after="0" w:line="160" w:lineRule="exact"/>
              <w:rPr>
                <w:sz w:val="20"/>
                <w:szCs w:val="20"/>
                <w:color w:val="auto"/>
              </w:rPr>
            </w:pPr>
            <w:r>
              <w:rPr>
                <w:rFonts w:ascii="Times New Roman" w:cs="Times New Roman" w:eastAsia="Times New Roman" w:hAnsi="Times New Roman"/>
                <w:sz w:val="14"/>
                <w:szCs w:val="14"/>
                <w:b w:val="1"/>
                <w:bCs w:val="1"/>
                <w:color w:val="auto"/>
                <w:w w:val="99"/>
              </w:rPr>
              <w:t>change</w:t>
            </w:r>
          </w:p>
        </w:tc>
        <w:tc>
          <w:tcPr>
            <w:tcW w:w="0" w:type="dxa"/>
            <w:vAlign w:val="bottom"/>
          </w:tcPr>
          <w:p>
            <w:pPr>
              <w:spacing w:after="0"/>
              <w:rPr>
                <w:sz w:val="1"/>
                <w:szCs w:val="1"/>
                <w:color w:val="auto"/>
              </w:rPr>
            </w:pPr>
          </w:p>
        </w:tc>
      </w:tr>
      <w:tr>
        <w:trPr>
          <w:trHeight w:val="20"/>
        </w:trPr>
        <w:tc>
          <w:tcPr>
            <w:tcW w:w="64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2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4,131,762</w:t>
            </w:r>
          </w:p>
        </w:tc>
        <w:tc>
          <w:tcPr>
            <w:tcW w:w="32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3,657,107</w:t>
            </w:r>
          </w:p>
        </w:tc>
        <w:tc>
          <w:tcPr>
            <w:tcW w:w="32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557,454</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436,924</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operating income </w:t>
            </w:r>
            <w:r>
              <w:rPr>
                <w:rFonts w:ascii="Times New Roman" w:cs="Times New Roman" w:eastAsia="Times New Roman" w:hAnsi="Times New Roman"/>
                <w:sz w:val="25"/>
                <w:szCs w:val="25"/>
                <w:color w:val="auto"/>
                <w:vertAlign w:val="superscript"/>
              </w:rPr>
              <w:t>(2)(3)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627,558</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472,550</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New Oriental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412,990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364,616</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net income attributable to New Oriental </w:t>
            </w:r>
            <w:r>
              <w:rPr>
                <w:rFonts w:ascii="Times New Roman" w:cs="Times New Roman" w:eastAsia="Times New Roman" w:hAnsi="Times New Roman"/>
                <w:sz w:val="25"/>
                <w:szCs w:val="25"/>
                <w:color w:val="auto"/>
                <w:vertAlign w:val="superscript"/>
              </w:rPr>
              <w:t>(2)(3)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483,346</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418,988</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ADS attributable to New Oriental - basic</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ADS attributable to New Oriental - diluted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net income per ADS attributable to New Oriental - basic </w:t>
            </w:r>
            <w:r>
              <w:rPr>
                <w:rFonts w:ascii="Times New Roman" w:cs="Times New Roman" w:eastAsia="Times New Roman" w:hAnsi="Times New Roman"/>
                <w:sz w:val="25"/>
                <w:szCs w:val="25"/>
                <w:color w:val="auto"/>
                <w:vertAlign w:val="superscript"/>
              </w:rPr>
              <w:t>(2)(3)(4)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net income per ADS attributable to New Oriental - diluted </w:t>
            </w:r>
            <w:r>
              <w:rPr>
                <w:rFonts w:ascii="Times New Roman" w:cs="Times New Roman" w:eastAsia="Times New Roman" w:hAnsi="Times New Roman"/>
                <w:sz w:val="25"/>
                <w:szCs w:val="25"/>
                <w:color w:val="auto"/>
                <w:vertAlign w:val="superscript"/>
              </w:rPr>
              <w:t>(2)(3)(4)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ten common shares. The Hong Kong-listed shares are fully fungible with the ADSs listed on NYSE.</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represents Generally Accepted Accounting Principles in the United States of America.</w:t>
      </w:r>
    </w:p>
    <w:p>
      <w:pPr>
        <w:spacing w:after="0" w:line="9"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Oriental provides non-GAAP financial measures on net income attributable to New Oriental, operating income and net income per ADS attributable to New Oriental that exclude share-based compensation expenses, amortization of intangible assets resulting from business acquisitions, (gain) /loss from fair value change of investments, loss from equity method investments, impairment of long-term investments, impairment of goodwill, gain on disposals of investments and others, as well as tax effects on non-GAAP adjustments. For further details on these adjustments, please refer to the section titled “About Non-GAAP Financial Measures” and the tables captioned “Reconciliations of Non-GAAP Measures to the Most Comparable GAAP Measures” set forth at the end of this release.</w:t>
      </w:r>
    </w:p>
    <w:p>
      <w:pPr>
        <w:spacing w:after="0" w:line="2" w:lineRule="exact"/>
        <w:rPr>
          <w:rFonts w:ascii="Times New Roman" w:cs="Times New Roman" w:eastAsia="Times New Roman" w:hAnsi="Times New Roman"/>
          <w:sz w:val="18"/>
          <w:szCs w:val="18"/>
          <w:color w:val="auto"/>
        </w:rPr>
      </w:pPr>
    </w:p>
    <w:p>
      <w:pPr>
        <w:ind w:left="424" w:right="80" w:hanging="424"/>
        <w:spacing w:after="0" w:line="26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Non-GAAP net income per ADS attributable to New Oriental is computed using Non-GAAP net income attributable to New Oriental and the same number of shares and ADSs used in GAAP basic and diluted EPS calculation.</w:t>
      </w:r>
    </w:p>
    <w:p>
      <w:pPr>
        <w:spacing w:after="0" w:line="2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for the Third Fiscal Quarter Ended February 28, 2026</w:t>
      </w:r>
    </w:p>
    <w:p>
      <w:pPr>
        <w:spacing w:after="0" w:line="121"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Michael Yu, New Oriental’s Executive Chairman, commented, “We are pleased to share of continued acceleration in our revenue growth year over year in the third fiscal quarter of 2026. Revenues from overseas test preparation increased by approximately 7.4%. In addition, our domestic test preparation business targeting adults and university students grew by approximately 14.5% year over year, followed by a growth of 23.3% year over year for our new educational business initiatives. Our non-academic tutoring courses was rolled out in around 60 cities, attracting approximately 458,000 student enrollments this quarter. Concurrently, our intelligent learning system and devices were adopted in around 60 cities, with approximately 367,000 active paid users. We are sharpening our focus on our core education business, prioritizing enhancements of teaching standards and product quality. Simultaneously, we will optimize our cost structure and operational efficiency to drive high-quality, efficient, and sustainable growth. We have also established a comprehensive customer service system spanning all departments, which now serves over 330,000 families in 12 cities. This infrastructure strengthens customer loyalty and retention, unlocks cross-selling potential, maximizes customer lifetime value all while lowering both customer acquisition and marketing costs. We remain committed to enhancing our brand influence and creating long-term value for our customers and shareholders.”</w:t>
      </w:r>
    </w:p>
    <w:p>
      <w:pPr>
        <w:sectPr>
          <w:pgSz w:w="11900" w:h="16838" w:orient="portrait"/>
          <w:cols w:equalWidth="0" w:num="1">
            <w:col w:w="11024"/>
          </w:cols>
          <w:pgMar w:left="436" w:top="117" w:right="439" w:bottom="1440" w:gutter="0" w:footer="0" w:header="0"/>
        </w:sectPr>
      </w:pPr>
    </w:p>
    <w:bookmarkStart w:id="4" w:name="page5"/>
    <w:bookmarkEnd w:id="4"/>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Chenggang Zhou, New Oriental’s Chief Executive Officer, added, “In this fiscal quarter, we continued to execute our strategy of disciplined capacity expansion, balancing revenue growth with operational efficiency. As part of our ongoing commitment, we further enhanced our OMO teaching system and deepened AI integration across our education ecosystem. This quarter, we made notable progress in embedding AI into existing educational offerings, refining AI-powered products, and deploying AI to improve operational efficiency and support for our teaching staff. In addition, East Buy remains committed to offering premium products and exceptional services to Chinese families. We launched multiple live-streaming accounts on Douyin, creating a comprehensive multi-account matrix including East Buy Home, East Buy Fruit &amp; Vegetables, East Buy Nutrition &amp; Health, followed by other vertical channels. We also optimized live-streaming content and introduced innovative initiatives such as live streamer recruitment campaign and supplier conferences. East Buy will continue advancing private label development, membership ecosystem, offline expansion, and operational efficiency to drive sustainable long-term growth.”</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Stephen Zhihui Yang, New Oriental’s Executive President and Chief Financial Officer, commented, “We are encouraged by the continued year over year improvement in our Non-GAAP operating margin in this quarter. This was primarily driven by enhanced operational efficiency and improved utilization within our educational business. We recorded a quarterly Non-GAAP operating margin of 14.3%, up by 230 basis points compared to the same period last fiscal year. Looking ahead, we remain committed to executing the cost and efficiency initiatives already underway across key business lines. Targeted structural optimizations have enabled fixed cost reduction and driven greater operational efficiency, steadily elevating our operating profit margins and strengthening our foundation for sustainable, profitable growth.”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Update on Shareholder Return for the Fiscal Year 2026</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October 2025, the Company announced that, pursuant to its previously adopted three-year shareholder return plan, the board of directors had approved an ordinary dividend of US$0.12 per common share, or US$1.20 per ADS, to be distributed in two installments as part of the shareholder return for the fiscal year 2026. The first installment has been fully paid to shareholders and ADS holders. The board has now approved the payment of the second installment of US$0.06 per common share, or US$0.6 per ADS, to holders of common shares and holders of ADSs of record as of the close of business on May 15, 2026, Beijing/Hong Kong Time and New York Time, respectively, with the expected payment date to be on or around June 2, 2026 and June 5, 2026 for holders of common shares and holders of ADSs, respectively.</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holders of common shares, in order to qualify for the second installment of the dividend, all valid documents for the transfer of shares accompanied by the relevant share certificates must be lodged for registration with the Company’s Hong Kong branch share registrar, Computershare Hong Kong Investor Services Limited, at Shops 1712-1716, 17th Floor, Hopewell Centre, 183 Queen’s Road East, Wanchai, Hong Kong no later than 4:30 p.m. on May 15, 2026 (Beijing/Hong Kong Time). Dividend to be paid to the Company’s ADS holders through the depositary bank will be subject to the terms of the deposit agreement.</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as part of the shareholder return for the fiscal year 2026, the Company also announced in October 2025 a share repurchase program, under which the Company is authorized to repurchase up to US$300 million of its ADSs or common shares over the subsequent 12 months. As of April 21, 2026, the Company had repurchased a total of approximately 3.3 million ADSs for an aggregate consideration of approximately US$184.3 million from the open market under this share repurchase program.</w:t>
      </w:r>
    </w:p>
    <w:p>
      <w:pPr>
        <w:spacing w:after="0" w:line="176" w:lineRule="exact"/>
        <w:rPr>
          <w:sz w:val="20"/>
          <w:szCs w:val="20"/>
          <w:color w:val="auto"/>
        </w:rPr>
      </w:pPr>
    </w:p>
    <w:p>
      <w:pPr>
        <w:ind w:right="5440"/>
        <w:spacing w:after="0" w:line="37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Financial Results for the Third Fiscal Quarter Ended February 28, 2026 </w:t>
      </w:r>
      <w:r>
        <w:rPr>
          <w:rFonts w:ascii="Times New Roman" w:cs="Times New Roman" w:eastAsia="Times New Roman" w:hAnsi="Times New Roman"/>
          <w:sz w:val="18"/>
          <w:szCs w:val="18"/>
          <w:b w:val="1"/>
          <w:bCs w:val="1"/>
          <w:color w:val="auto"/>
        </w:rPr>
        <w:t>Net Revenues</w:t>
      </w:r>
    </w:p>
    <w:p>
      <w:pPr>
        <w:ind w:right="500"/>
        <w:spacing w:after="0" w:line="282" w:lineRule="auto"/>
        <w:rPr>
          <w:sz w:val="20"/>
          <w:szCs w:val="20"/>
          <w:color w:val="auto"/>
        </w:rPr>
      </w:pPr>
      <w:r>
        <w:rPr>
          <w:rFonts w:ascii="Times New Roman" w:cs="Times New Roman" w:eastAsia="Times New Roman" w:hAnsi="Times New Roman"/>
          <w:sz w:val="18"/>
          <w:szCs w:val="18"/>
          <w:color w:val="auto"/>
        </w:rPr>
        <w:t>For the third fiscal quarter of 2026, New Oriental reported net revenues of US$1,417.3 million, representing a 19.8% increase year over year. The growth was mainly driven by the increase in net revenues from the Company’s new educational business initiatives.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costs and expenses for the quarter were US$1,237.0 million, representing a 16.9% increase year over year.</w:t>
      </w:r>
    </w:p>
    <w:p>
      <w:pPr>
        <w:spacing w:after="0" w:line="86" w:lineRule="exact"/>
        <w:rPr>
          <w:sz w:val="20"/>
          <w:szCs w:val="20"/>
          <w:color w:val="auto"/>
        </w:rPr>
      </w:pPr>
    </w:p>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increased by 23.4% year over year to US$656.2 million.</w:t>
      </w:r>
    </w:p>
    <w:p>
      <w:pPr>
        <w:sectPr>
          <w:pgSz w:w="11900" w:h="16838" w:orient="portrait"/>
          <w:cols w:equalWidth="0" w:num="1">
            <w:col w:w="10980"/>
          </w:cols>
          <w:pgMar w:left="440" w:top="270" w:right="479" w:bottom="1440" w:gutter="0" w:footer="0" w:header="0"/>
        </w:sectPr>
      </w:pPr>
    </w:p>
    <w:bookmarkStart w:id="5" w:name="page6"/>
    <w:bookmarkEnd w:id="5"/>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Selling and marketing expenses </w:t>
      </w:r>
      <w:r>
        <w:rPr>
          <w:rFonts w:ascii="Times New Roman" w:cs="Times New Roman" w:eastAsia="Times New Roman" w:hAnsi="Times New Roman"/>
          <w:sz w:val="18"/>
          <w:szCs w:val="18"/>
          <w:color w:val="auto"/>
        </w:rPr>
        <w:t>increased by 9.1% year over year to US$198.8 million.</w:t>
      </w:r>
    </w:p>
    <w:p>
      <w:pPr>
        <w:spacing w:after="0" w:line="9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for the quarter increased by 10.8% year over year to US$382.1 million.</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expenses, which were allocated to related operating costs and expenses, increased by 30.9% to US$21.1 million in the third fiscal quarter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Operating Margin</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income was US$180.3 million, representing a 44.8% increase year over year. Non-GAAP income from operations for the quarter, excluding share-based compensation expenses and amortization of intangible assets resulting from business acquisitions, was US$202.9 million, representing a 42.8% increase year over year.</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Operating margin for the quarter was 12.7%, compared to 10.5% in the same period of the prior fiscal year. Non-GAAP operating margin, which excludes share-based compensation expenses and amortization of intangible assets resulting from business acquisitions, for the quarter was 14.3%, compared to 12.0% in the same period of the prior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Net Income per ADS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Net income attributable to New Oriental for the quarter was US$126.8 million, representing a 45.3% increase year over year. Basic and diluted net income per ADS attributable to New Oriental were US$0.80 and US$0.79,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and Non-GAAP Net Income per ADS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Non-GAAP net income attributable to New Oriental for the quarter, excluding share-based compensation expenses, amortization of intangible assets resulting from business acquisitions, (gain)/loss from fair value change of investments, loss from equity method investments, gain on disposals of investments and others, as well as tax effects on non-GAAP adjustments, was US$152.2 million, representing a 34.3% increase year over year. Non-GAAP basic and diluted net income per ADS attributable to New Oriental were US$0.97 and US$0.95,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Net operating cash outflow for the third fiscal quarter of 2026 was approximately US$7.5 million and capital expenditures for the quarter were US$68.8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February 28, 2026, New Oriental had cash and cash equivalents of US$1,783.4 million. In addition, the Company had US$1,491.7 million in term deposits and US$1,953.2 million in short-term investments.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New Oriental’s deferred revenue, which represents cash collected upfront from customers and related revenue that will be recognized as the services or goods are delivered, at the end of the third quarter of fiscal year 2026 was US$1,885.9 million, an increase of 7.8% as compared to US$1,749.9 million at the end of the third quarter of fiscal year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 for the Nine Months Ended February 28,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nine months of fiscal year 2026, New Oriental reported net revenues of US$4,131.8 million, representing a 13.0% increase year over year.</w:t>
      </w:r>
    </w:p>
    <w:p>
      <w:pPr>
        <w:spacing w:after="0" w:line="225"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Operating income was US$557.5 million, representing a 27.6% increase year over year. Non-GAAP operating income, excluding share-based compensation expenses, amortization of intangible assets resulting from business acquisitions for the first nine months of fiscal year 2026 was US$627.6 million, representing a 32.8% increase year over year.</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margin for the first nine months of fiscal year 2026 was 13.5%, compared to 11.9% for the same period of the prior fiscal year. Non-GAAP operating margin, which excludes share-based compensation expenses and amortization of intangible assets resulting from business acquisitions, for the first nine months of fiscal year 2026, was 15.2%, compared to 12.9% for the same period of the prior fiscal year.</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income attributable to New Oriental for the first nine months of fiscal year 2026 was US$413.0 million, representing a 13.3% increase year over year. Basic and diluted net income per ADS attributable to New Oriental for the first nine months of fiscal year 2026 amounted to US$2.61 and US$2.58, respectively.</w:t>
      </w:r>
    </w:p>
    <w:p>
      <w:pPr>
        <w:sectPr>
          <w:pgSz w:w="11900" w:h="16838" w:orient="portrait"/>
          <w:cols w:equalWidth="0" w:num="1">
            <w:col w:w="10960"/>
          </w:cols>
          <w:pgMar w:left="440" w:top="266" w:right="499" w:bottom="1440" w:gutter="0" w:footer="0" w:header="0"/>
        </w:sectPr>
      </w:pPr>
    </w:p>
    <w:bookmarkStart w:id="6" w:name="page7"/>
    <w:bookmarkEnd w:id="6"/>
    <w:p>
      <w:pPr>
        <w:ind w:right="3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net income attributable to New Oriental, excluding share-based compensation expenses, amortization of intangible assets resulting from business acquisitions, (gain)/loss from fair value change of investments, loss from equity method investments, gain on disposals of investments and others, as well as tax effects on non-GAAP adjustments, for the first nine months of fiscal year 2026 was US$483.3 million, representing a 15.4% increase year over year. Non-GAAP basic and diluted net income per ADS attributable to New Oriental for the first nine months of fiscal year 2026 amounted to US$3.05 and US$3.02,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 for the Fourth Quarter of the Fiscal Year 2026</w:t>
      </w:r>
    </w:p>
    <w:p>
      <w:pPr>
        <w:spacing w:after="0" w:line="121"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New Oriental expects total net revenues in the fourth quarter of the fiscal year 2026 (March 1, 2026 to May 31, 2026) to be in the range of US$1,429.6 million to US$1,466.9 million, representing year over year increase in the range of 15% to 18%.</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Driven by encouraging growth across various business lines, New Oriental raises the full year guidance of total net revenues in the fiscal year 2026 (June 1, 2025 to May 31, 2026) to be in the range of US$5,561.4 million to US$5,598.7 million, representing a year over year increase in the range of 13% to 14%.</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forecast reflects New Oriental’s current and preliminary view, which is subject to change. The forecast is based on the current USD/RMB exchange rate, which is also subject to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Information</w:t>
      </w:r>
    </w:p>
    <w:p>
      <w:pPr>
        <w:spacing w:after="0" w:line="121"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New Oriental’s management will host an earnings conference call at 8 AM on April 22, 2026, U.S. Eastern Time (8 PM on April 22, 2026, Beijing/Hong Kong Time).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register in advance of the conference, using the link provided below. Upon registering, you will be provided with participant dial-in numbers, and unique personal PIN.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Conference call registration link: </w:t>
      </w:r>
      <w:r>
        <w:rPr>
          <w:rFonts w:ascii="Times New Roman" w:cs="Times New Roman" w:eastAsia="Times New Roman" w:hAnsi="Times New Roman"/>
          <w:sz w:val="18"/>
          <w:szCs w:val="18"/>
          <w:u w:val="single" w:color="auto"/>
          <w:color w:val="auto"/>
        </w:rPr>
        <w:t>https://register-conf.media-server.com/register/BI2d1b37f83b4645f08b73fdd17af502f3.</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It will automatically direct you to the registration page of “New Oriental FY2026 Q3 Earnings Conference Call” where you may fill in your details for RSVP.</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10 minutes prior to the call start time, you may use the conference access information (including dial in number(s) and personal PIN) provided in the confirmation email received at the point of registering.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Joining the conference call via a live webcast: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at </w:t>
      </w:r>
      <w:r>
        <w:rPr>
          <w:rFonts w:ascii="Times New Roman" w:cs="Times New Roman" w:eastAsia="Times New Roman" w:hAnsi="Times New Roman"/>
          <w:sz w:val="18"/>
          <w:szCs w:val="18"/>
          <w:u w:val="single" w:color="auto"/>
          <w:color w:val="auto"/>
        </w:rPr>
        <w:t>http://investor.neworiental.org.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Listening to the conference call replay:</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A replay of the conference call may be accessed via the webcast on-demand by registering at </w:t>
      </w:r>
      <w:r>
        <w:rPr>
          <w:rFonts w:ascii="Times New Roman" w:cs="Times New Roman" w:eastAsia="Times New Roman" w:hAnsi="Times New Roman"/>
          <w:sz w:val="18"/>
          <w:szCs w:val="18"/>
          <w:u w:val="single" w:color="auto"/>
          <w:color w:val="auto"/>
        </w:rPr>
        <w:t>https://edge.media-server.com/mmc/p/7x5ve8hp</w:t>
      </w:r>
      <w:r>
        <w:rPr>
          <w:rFonts w:ascii="Times New Roman" w:cs="Times New Roman" w:eastAsia="Times New Roman" w:hAnsi="Times New Roman"/>
          <w:sz w:val="18"/>
          <w:szCs w:val="18"/>
          <w:color w:val="auto"/>
        </w:rPr>
        <w:t xml:space="preserve"> first. The replay will be available until April 22, 2027.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New Oriental</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New Oriental is a provider of private educational services in China offering a wide range of educational programs, services and products to a varied student population throughout China. New Oriental’s program, service and product offerings mainly consist of educational services and test preparation courses, private label products and livestreaming e-commerce, overseas study consulting services, and educational materials and distribution. New Oriental is listed on NYSE (NYSE: EDU) and SEHK (9901.SEHK), respectively. New Oriental’s ADSs, each of which represents ten common shares, are listed and traded on the NYSE. The Hong Kong-listed shares are fully fungible with the ADSs listed on NYSE.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New Oriental, please visit </w:t>
      </w:r>
      <w:r>
        <w:rPr>
          <w:rFonts w:ascii="Times New Roman" w:cs="Times New Roman" w:eastAsia="Times New Roman" w:hAnsi="Times New Roman"/>
          <w:sz w:val="18"/>
          <w:szCs w:val="18"/>
          <w:u w:val="single" w:color="auto"/>
          <w:color w:val="auto"/>
        </w:rPr>
        <w:t>http://www.neworiental.org/english/.</w:t>
      </w:r>
    </w:p>
    <w:p>
      <w:pPr>
        <w:sectPr>
          <w:pgSz w:w="11900" w:h="16838" w:orient="portrait"/>
          <w:cols w:equalWidth="0" w:num="1">
            <w:col w:w="10980"/>
          </w:cols>
          <w:pgMar w:left="440" w:top="27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Safe Harbor Statement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outlook for the fourth quarter and full year of fiscal year 2026, quotations from management in this announcement, as well as New Oriental’s strategic and operational plans, contain forward-looking statements. New Oriental may also make written or oral forward-looking statements in its reports filed or furnished to the U.S. Securities and Exchange Commission, in its annual reports to shareholders, in press releases and other written materials and in oral statements made by its officers, directors or employees to third parties. Statements that are not historical facts, including statements about New Oriental’s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ability to effectively and efficiently manage changes of its existing business and new business; its ability to execute its business strategies; uncertainties in relation to the interpretation and implementation of or proposed changes to, the PRC laws, regulations and policies regarding the private education industry; its ability to attract students without a significant increase in course fees; its ability to maintain and enhance its “New Oriental” brand; its ability to maintain consistent teaching quality throughout its school network, or service quality throughout its brand; its ability to achieve the benefits it expects from recent and future acquisitions; the outcome of ongoing, or any future, litigation or arbitration, including those relating to copyright and other intellectual property rights; competition in the private education sector and livestreaming e-commerce business in China; the continuing efforts of its senior management team and other key personnel, health epidemics and other outbreaks in China; and general economic conditions in China. Further information regarding these and other risks is included in its annual report on Form 20-F and other documents filed with the Securities and Exchange Commission. New Oriental does not undertake any obligation to update any forward-looking statement, except as required under applicable law. All information provided in this press release and in the attachments is as of the date of this press release, and New Oriental undertakes no duty to update such information, except as required under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Non-GAAP Financial Measures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To supplement New Oriental’s consolidated financial results presented in accordance with GAAP, New Oriental uses the following measures defined as non-GAAP financial measures by the SEC: net income excluding share-based compensation expenses, amortization of intangible assets resulting from business acquisitions, (gain)/loss from fair value change of investments, loss/(gain) from equity method investments, impairment of long-term investments and goodwill, gain on disposals of investments and others, as well as tax effects on non-GAAP adjustments; operating income excluding share-based compensation expenses, amortization of intangible assets resulting from business acquisitions, and impairment of goodwill; operating margin excluding share-based compensation expenses, amortization of intangible assets resulting from business acquisitions, and impairment of goodwill; and basic and diluted net income per ADS and per share excluding share-based compensation expenses, amortization of intangible assets resulting from business acquisitions, loss/(gain) from fair value change of investments, loss/(gain) from equity method investments, impairment of long-term investments and goodwill, gain on disposals of investments and others, as well as tax effects on non-GAAP adjustments. The presentation of these non-GAAP financial measures is not intended to be considered in isolation or as a substitute for the financial information prepared and presented in accordance with GAAP. For more information on these non-GAAP financial measures, please see the tables captioned “Reconciliations of non-GAAP measures to the most comparable GAAP measures” set forth at the end of this release.</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New Oriental believes that these non-GAAP financial measures provide meaningful supplemental information regarding its performance and liquidity by excluding from each non-GAAP measure certain items that may not be indicative of its operating performance from a cash perspective. New Oriental believes that both management and investors benefit from referring to these non-GAAP financial measures in assessing its performance and when planning and forecasting future periods. These non-GAAP financial measures also facilitate management’s internal comparisons to New Oriental’s historical performance and liquidity. New Oriental believes these non-GAAP financial measures are useful to investors in allowing for greater transparency with respect to supplemental information used by management in its financial and operational decision making. A limitation of using these non-GAAP measures is that they exclude from each non-GAAP measure certain items that have been and will continue to be for the foreseeable future a significant recurring expense in its business. Management compensates for these limitations by providing specific information regarding the GAAP amounts excluded from each non-GAAP measure. The accompanying tables have more details on the reconciliations between GAAP financial measures that are most directly comparable to non-GAAP financial measures.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ectPr>
          <w:pgSz w:w="11900" w:h="16838" w:orient="portrait"/>
          <w:cols w:equalWidth="0" w:num="1">
            <w:col w:w="11000"/>
          </w:cols>
          <w:pgMar w:left="440" w:top="266" w:right="45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Rita Fong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FTI Consulting</w:t>
      </w:r>
    </w:p>
    <w:p>
      <w:pPr>
        <w:spacing w:after="0" w:line="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 xml:space="preserve">Tel:     </w:t>
      </w:r>
      <w:r>
        <w:rPr>
          <w:sz w:val="20"/>
          <w:szCs w:val="20"/>
          <w:color w:val="auto"/>
        </w:rPr>
        <w:tab/>
      </w:r>
      <w:r>
        <w:rPr>
          <w:rFonts w:ascii="Times New Roman" w:cs="Times New Roman" w:eastAsia="Times New Roman" w:hAnsi="Times New Roman"/>
          <w:sz w:val="17"/>
          <w:szCs w:val="17"/>
          <w:color w:val="auto"/>
        </w:rPr>
        <w:t>+852 3768 4548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rita.fong@fticonsulting.com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Sisi Zhao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Oriental Education &amp; Technology Group Inc.</w:t>
      </w:r>
    </w:p>
    <w:p>
      <w:pPr>
        <w:spacing w:after="0" w:line="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 xml:space="preserve">Tel:    </w:t>
      </w:r>
      <w:r>
        <w:rPr>
          <w:sz w:val="20"/>
          <w:szCs w:val="20"/>
          <w:color w:val="auto"/>
        </w:rPr>
        <w:tab/>
      </w:r>
      <w:r>
        <w:rPr>
          <w:rFonts w:ascii="Times New Roman" w:cs="Times New Roman" w:eastAsia="Times New Roman" w:hAnsi="Times New Roman"/>
          <w:sz w:val="17"/>
          <w:szCs w:val="17"/>
          <w:color w:val="auto"/>
        </w:rPr>
        <w:t>+86-10-6260-5568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zhaosisi@xdf.cn</w:t>
      </w:r>
    </w:p>
    <w:p>
      <w:pPr>
        <w:sectPr>
          <w:pgSz w:w="11900" w:h="16838" w:orient="portrait"/>
          <w:cols w:equalWidth="0" w:num="2">
            <w:col w:w="5020" w:space="720"/>
            <w:col w:w="5260"/>
          </w:cols>
          <w:pgMar w:left="440" w:top="266" w:right="45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ORIENTAL EDUCATION &amp; TECHNOLOGY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 of February 28</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May 31</w:t>
            </w:r>
          </w:p>
        </w:tc>
      </w:tr>
      <w:tr>
        <w:trPr>
          <w:trHeight w:val="173"/>
        </w:trPr>
        <w:tc>
          <w:tcPr>
            <w:tcW w:w="85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19"/>
        </w:trPr>
        <w:tc>
          <w:tcPr>
            <w:tcW w:w="854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4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(Audited)</w:t>
            </w:r>
          </w:p>
        </w:tc>
        <w:tc>
          <w:tcPr>
            <w:tcW w:w="60" w:type="dxa"/>
            <w:vAlign w:val="bottom"/>
          </w:tcPr>
          <w:p>
            <w:pPr>
              <w:spacing w:after="0"/>
              <w:rPr>
                <w:sz w:val="10"/>
                <w:szCs w:val="10"/>
                <w:color w:val="auto"/>
              </w:rPr>
            </w:pPr>
          </w:p>
        </w:tc>
      </w:tr>
      <w:tr>
        <w:trPr>
          <w:trHeight w:val="171"/>
        </w:trPr>
        <w:tc>
          <w:tcPr>
            <w:tcW w:w="854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w w:val="99"/>
              </w:rPr>
              <w:t>USD</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USD</w:t>
            </w: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1,783,403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1,612,379</w:t>
            </w: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current</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157,471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180,724</w:t>
            </w: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deposits, current</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1,065,883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1,092,115</w:t>
            </w: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1,953,163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1,873,502</w:t>
            </w: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35,716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33,629</w:t>
            </w: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net</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86,048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80,884</w:t>
            </w: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338,542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307,902</w:t>
            </w: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 current</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6,872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6,567</w:t>
            </w:r>
          </w:p>
        </w:tc>
      </w:tr>
      <w:tr>
        <w:trPr>
          <w:trHeight w:val="27"/>
        </w:trPr>
        <w:tc>
          <w:tcPr>
            <w:tcW w:w="85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5,427,098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5,187,702</w:t>
            </w:r>
          </w:p>
        </w:tc>
      </w:tr>
      <w:tr>
        <w:trPr>
          <w:trHeight w:val="223"/>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95,923</w:t>
            </w:r>
          </w:p>
        </w:tc>
        <w:tc>
          <w:tcPr>
            <w:tcW w:w="4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24,030</w:t>
            </w:r>
          </w:p>
        </w:tc>
        <w:tc>
          <w:tcPr>
            <w:tcW w:w="60" w:type="dxa"/>
            <w:vAlign w:val="bottom"/>
          </w:tcPr>
          <w:p>
            <w:pPr>
              <w:spacing w:after="0"/>
              <w:rPr>
                <w:sz w:val="19"/>
                <w:szCs w:val="19"/>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deposits, non-current</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425,857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355,665</w:t>
            </w: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826,853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767,346</w:t>
            </w: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 use rights, net</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56,735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54,900</w:t>
            </w: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 non-current</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14,159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12,464</w:t>
            </w: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deposits</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55,337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48,815</w:t>
            </w: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9,168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13,020</w:t>
            </w: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net</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45,952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43,832</w:t>
            </w: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investments, net</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382,191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388,481</w:t>
            </w: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85,603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97,932</w:t>
            </w: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809,409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793,842</w:t>
            </w: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10,075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17,470</w:t>
            </w: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8,244,360</w:t>
            </w:r>
          </w:p>
        </w:tc>
        <w:tc>
          <w:tcPr>
            <w:tcW w:w="4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7,805,499</w:t>
            </w:r>
          </w:p>
        </w:tc>
        <w:tc>
          <w:tcPr>
            <w:tcW w:w="6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108,509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80,484</w:t>
            </w: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795,005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830,583</w:t>
            </w: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215,512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167,881</w:t>
            </w: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1,885,872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1,954,464</w:t>
            </w: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273,263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255,997</w:t>
            </w:r>
          </w:p>
        </w:tc>
      </w:tr>
      <w:tr>
        <w:trPr>
          <w:trHeight w:val="27"/>
        </w:trPr>
        <w:tc>
          <w:tcPr>
            <w:tcW w:w="85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3,278,557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3,289,814</w:t>
            </w:r>
          </w:p>
        </w:tc>
      </w:tr>
      <w:tr>
        <w:trPr>
          <w:trHeight w:val="223"/>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4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14,174</w:t>
            </w:r>
          </w:p>
        </w:tc>
        <w:tc>
          <w:tcPr>
            <w:tcW w:w="60" w:type="dxa"/>
            <w:vAlign w:val="bottom"/>
          </w:tcPr>
          <w:p>
            <w:pPr>
              <w:spacing w:after="0"/>
              <w:rPr>
                <w:sz w:val="19"/>
                <w:szCs w:val="19"/>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 senior notes</w:t>
            </w:r>
          </w:p>
        </w:tc>
        <w:tc>
          <w:tcPr>
            <w:tcW w:w="16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14,403</w:t>
            </w: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533,707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533,376</w:t>
            </w:r>
          </w:p>
        </w:tc>
      </w:tr>
      <w:tr>
        <w:trPr>
          <w:trHeight w:val="27"/>
        </w:trPr>
        <w:tc>
          <w:tcPr>
            <w:tcW w:w="85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547,855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561,953</w:t>
            </w: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3,826,412</w:t>
            </w:r>
          </w:p>
        </w:tc>
        <w:tc>
          <w:tcPr>
            <w:tcW w:w="4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3,851,767</w:t>
            </w:r>
          </w:p>
        </w:tc>
        <w:tc>
          <w:tcPr>
            <w:tcW w:w="60" w:type="dxa"/>
            <w:vAlign w:val="bottom"/>
          </w:tcPr>
          <w:p>
            <w:pPr>
              <w:spacing w:after="0"/>
              <w:rPr>
                <w:sz w:val="20"/>
                <w:szCs w:val="20"/>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Oriental Education &amp; Technology Group Inc. shareholders’ equity</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4,086,130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3,661,873</w:t>
            </w: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331,818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291,859</w:t>
            </w: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4,417,948</w:t>
            </w:r>
          </w:p>
        </w:tc>
        <w:tc>
          <w:tcPr>
            <w:tcW w:w="4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3,953,732</w:t>
            </w:r>
          </w:p>
        </w:tc>
        <w:tc>
          <w:tcPr>
            <w:tcW w:w="60" w:type="dxa"/>
            <w:vAlign w:val="bottom"/>
          </w:tcPr>
          <w:p>
            <w:pPr>
              <w:spacing w:after="0"/>
              <w:rPr>
                <w:sz w:val="20"/>
                <w:szCs w:val="20"/>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8,244,360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7,805,499</w:t>
            </w:r>
          </w:p>
        </w:tc>
      </w:tr>
      <w:tr>
        <w:trPr>
          <w:trHeight w:val="20"/>
        </w:trPr>
        <w:tc>
          <w:tcPr>
            <w:tcW w:w="85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ORIENTAL EDUCATION &amp; TECHNOLOGY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for per share and per ADS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31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 February 28</w:t>
            </w:r>
          </w:p>
        </w:tc>
      </w:tr>
      <w:tr>
        <w:trPr>
          <w:trHeight w:val="142"/>
        </w:trPr>
        <w:tc>
          <w:tcPr>
            <w:tcW w:w="790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19"/>
        </w:trPr>
        <w:tc>
          <w:tcPr>
            <w:tcW w:w="7900" w:type="dxa"/>
            <w:vAlign w:val="bottom"/>
          </w:tcPr>
          <w:p>
            <w:pPr>
              <w:spacing w:after="0"/>
              <w:rPr>
                <w:sz w:val="10"/>
                <w:szCs w:val="10"/>
                <w:color w:val="auto"/>
              </w:rPr>
            </w:pPr>
          </w:p>
        </w:tc>
        <w:tc>
          <w:tcPr>
            <w:tcW w:w="1160" w:type="dxa"/>
            <w:vAlign w:val="bottom"/>
          </w:tcPr>
          <w:p>
            <w:pPr>
              <w:jc w:val="right"/>
              <w:ind w:right="114"/>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60" w:type="dxa"/>
            <w:vAlign w:val="bottom"/>
          </w:tcPr>
          <w:p>
            <w:pPr>
              <w:spacing w:after="0"/>
              <w:rPr>
                <w:sz w:val="10"/>
                <w:szCs w:val="10"/>
                <w:color w:val="auto"/>
              </w:rPr>
            </w:pPr>
          </w:p>
        </w:tc>
        <w:tc>
          <w:tcPr>
            <w:tcW w:w="1180" w:type="dxa"/>
            <w:vAlign w:val="bottom"/>
          </w:tcPr>
          <w:p>
            <w:pPr>
              <w:jc w:val="right"/>
              <w:ind w:right="133"/>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0"/>
                <w:szCs w:val="10"/>
                <w:color w:val="auto"/>
              </w:rPr>
            </w:pPr>
          </w:p>
        </w:tc>
      </w:tr>
      <w:tr>
        <w:trPr>
          <w:trHeight w:val="171"/>
        </w:trPr>
        <w:tc>
          <w:tcPr>
            <w:tcW w:w="7900" w:type="dxa"/>
            <w:vAlign w:val="bottom"/>
          </w:tcPr>
          <w:p>
            <w:pPr>
              <w:spacing w:after="0"/>
              <w:rPr>
                <w:sz w:val="14"/>
                <w:szCs w:val="14"/>
                <w:color w:val="auto"/>
              </w:rPr>
            </w:pPr>
          </w:p>
        </w:tc>
        <w:tc>
          <w:tcPr>
            <w:tcW w:w="182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color w:val="auto"/>
              </w:rPr>
              <w:t>USD</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USD</w:t>
            </w:r>
          </w:p>
        </w:tc>
      </w:tr>
      <w:tr>
        <w:trPr>
          <w:trHeight w:val="209"/>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1,417,341</w:t>
            </w:r>
          </w:p>
        </w:tc>
        <w:tc>
          <w:tcPr>
            <w:tcW w:w="6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1,183,055</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 and expenses (note 1)</w:t>
            </w: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656,174</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531,586</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8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198,785</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182,240</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382,062</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344,710</w:t>
            </w: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1,237,021</w:t>
            </w:r>
          </w:p>
        </w:tc>
        <w:tc>
          <w:tcPr>
            <w:tcW w:w="6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1,058,536</w:t>
            </w:r>
          </w:p>
        </w:tc>
        <w:tc>
          <w:tcPr>
            <w:tcW w:w="120" w:type="dxa"/>
            <w:vAlign w:val="bottom"/>
          </w:tcPr>
          <w:p>
            <w:pPr>
              <w:spacing w:after="0"/>
              <w:rPr>
                <w:sz w:val="20"/>
                <w:szCs w:val="20"/>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180,320</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124,519</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Gain/(Loss) from fair value change of investments</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66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18,466</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29,095</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(54,723)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(52,579)</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8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(5,381)</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(11,157)</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139,884</w:t>
            </w:r>
          </w:p>
        </w:tc>
        <w:tc>
          <w:tcPr>
            <w:tcW w:w="6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89,666</w:t>
            </w:r>
          </w:p>
        </w:tc>
        <w:tc>
          <w:tcPr>
            <w:tcW w:w="12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(13,069)</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(2,411)</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New Oriental Education &amp; Technology Group Inc.’s shareholders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126,815</w:t>
            </w:r>
          </w:p>
        </w:tc>
        <w:tc>
          <w:tcPr>
            <w:tcW w:w="6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87,255</w:t>
            </w:r>
          </w:p>
        </w:tc>
        <w:tc>
          <w:tcPr>
            <w:tcW w:w="12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New Oriental-Basic (note 2)</w:t>
            </w:r>
          </w:p>
        </w:tc>
        <w:tc>
          <w:tcPr>
            <w:tcW w:w="18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0.08</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New Oriental-Diluted (note 2)</w:t>
            </w:r>
          </w:p>
        </w:tc>
        <w:tc>
          <w:tcPr>
            <w:tcW w:w="18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0.08</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 attributable to New Oriental-Basic (note 2)</w:t>
            </w:r>
          </w:p>
        </w:tc>
        <w:tc>
          <w:tcPr>
            <w:tcW w:w="18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0.80</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0.54</w:t>
            </w:r>
          </w:p>
        </w:tc>
      </w:tr>
      <w:tr>
        <w:trPr>
          <w:trHeight w:val="238"/>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ADS attributable to New Oriental-Diluted (note 2)</w:t>
            </w:r>
          </w:p>
        </w:tc>
        <w:tc>
          <w:tcPr>
            <w:tcW w:w="18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0.79</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0.54</w:t>
            </w:r>
          </w:p>
        </w:tc>
      </w:tr>
    </w:tbl>
    <w:p>
      <w:pPr>
        <w:sectPr>
          <w:pgSz w:w="11900" w:h="16838" w:orient="portrait"/>
          <w:cols w:equalWidth="0" w:num="1">
            <w:col w:w="11020"/>
          </w:cols>
          <w:pgMar w:left="440" w:top="266" w:right="4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ORIENTAL EDUCATION &amp; TECHNOLOGY GROUP INC. RECONCILIATIONS OF NON-GAAP MEASURES TO THE MOST COMPARABLE GAAP MEASURES (In thousands except for per share and per ADS amounts)</w:t>
      </w:r>
    </w:p>
    <w:p>
      <w:pPr>
        <w:spacing w:after="0" w:line="195"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February 28</w:t>
      </w:r>
    </w:p>
    <w:tbl>
      <w:tblPr>
        <w:tblLayout w:type="fixed"/>
        <w:tblInd w:w="0" w:type="dxa"/>
        <w:tblCellMar>
          <w:top w:w="0" w:type="dxa"/>
          <w:left w:w="0" w:type="dxa"/>
          <w:bottom w:w="0" w:type="dxa"/>
          <w:right w:w="0" w:type="dxa"/>
        </w:tblCellMar>
      </w:tblPr>
      <w:tr>
        <w:trPr>
          <w:trHeight w:val="142"/>
        </w:trPr>
        <w:tc>
          <w:tcPr>
            <w:tcW w:w="83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r>
      <w:tr>
        <w:trPr>
          <w:trHeight w:val="119"/>
        </w:trPr>
        <w:tc>
          <w:tcPr>
            <w:tcW w:w="8320" w:type="dxa"/>
            <w:vAlign w:val="bottom"/>
          </w:tcPr>
          <w:p>
            <w:pPr>
              <w:spacing w:after="0"/>
              <w:rPr>
                <w:sz w:val="10"/>
                <w:szCs w:val="10"/>
                <w:color w:val="auto"/>
              </w:rPr>
            </w:pPr>
          </w:p>
        </w:tc>
        <w:tc>
          <w:tcPr>
            <w:tcW w:w="1080" w:type="dxa"/>
            <w:vAlign w:val="bottom"/>
          </w:tcPr>
          <w:p>
            <w:pPr>
              <w:jc w:val="right"/>
              <w:ind w:right="72"/>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320" w:type="dxa"/>
            <w:vAlign w:val="bottom"/>
          </w:tcPr>
          <w:p>
            <w:pPr>
              <w:spacing w:after="0"/>
              <w:rPr>
                <w:sz w:val="10"/>
                <w:szCs w:val="10"/>
                <w:color w:val="auto"/>
              </w:rPr>
            </w:pPr>
          </w:p>
        </w:tc>
        <w:tc>
          <w:tcPr>
            <w:tcW w:w="1080" w:type="dxa"/>
            <w:vAlign w:val="bottom"/>
          </w:tcPr>
          <w:p>
            <w:pPr>
              <w:jc w:val="right"/>
              <w:ind w:right="72"/>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r>
      <w:tr>
        <w:trPr>
          <w:trHeight w:val="171"/>
        </w:trPr>
        <w:tc>
          <w:tcPr>
            <w:tcW w:w="832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USD</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USD</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180,320</w:t>
            </w:r>
          </w:p>
        </w:tc>
        <w:tc>
          <w:tcPr>
            <w:tcW w:w="3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124,519</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21,092</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16,119</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resulting from business acquisitions</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1,473</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1,418</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202,885</w:t>
            </w:r>
          </w:p>
        </w:tc>
        <w:tc>
          <w:tcPr>
            <w:tcW w:w="3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142,056</w:t>
            </w:r>
          </w:p>
        </w:tc>
        <w:tc>
          <w:tcPr>
            <w:tcW w:w="220" w:type="dxa"/>
            <w:vAlign w:val="bottom"/>
          </w:tcPr>
          <w:p>
            <w:pPr>
              <w:spacing w:after="0"/>
              <w:rPr>
                <w:sz w:val="20"/>
                <w:szCs w:val="20"/>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New Oriental</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126,815</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87,255</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20,223</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14,151</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(Gain)/Loss from fair value change of investments</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(1,202)</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resulting from business acquisitions</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913</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5,381</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11,157</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disposals of investments and others</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 on Non-GAAP adjustments</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attributable to New Oriental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152,183</w:t>
            </w:r>
          </w:p>
        </w:tc>
        <w:tc>
          <w:tcPr>
            <w:tcW w:w="3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113,344</w:t>
            </w:r>
          </w:p>
        </w:tc>
        <w:tc>
          <w:tcPr>
            <w:tcW w:w="220" w:type="dxa"/>
            <w:vAlign w:val="bottom"/>
          </w:tcPr>
          <w:p>
            <w:pPr>
              <w:spacing w:after="0"/>
              <w:rPr>
                <w:sz w:val="20"/>
                <w:szCs w:val="20"/>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ADS attributable to New Oriental - Basic (note 2)</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0.54</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ADS attributable to New Oriental - Diluted (note 2)</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0.79</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0.54</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per ADS attributable to New Oriental - Basic (note 2)</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0.97</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0.70</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ADS attributable to New Oriental - Diluted (note 2)</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0.95</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0.70</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basic net income per ADS (note 2)</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1,576,580,766</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1,612,894,657</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income per ADS (note 2)</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1,596,357,200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1,624,843,387</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r>
    </w:tbl>
    <w:p>
      <w:pPr>
        <w:sectPr>
          <w:pgSz w:w="11900" w:h="16838" w:orient="portrait"/>
          <w:cols w:equalWidth="0" w:num="1">
            <w:col w:w="11020"/>
          </w:cols>
          <w:pgMar w:left="440" w:top="266"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Share-based compensation expenses (in thousands) are included in the operating cost and expenses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Three Months Ended February 28</w:t>
            </w:r>
          </w:p>
        </w:tc>
      </w:tr>
      <w:tr>
        <w:trPr>
          <w:trHeight w:val="142"/>
        </w:trPr>
        <w:tc>
          <w:tcPr>
            <w:tcW w:w="774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2"/>
                <w:szCs w:val="12"/>
                <w:color w:val="auto"/>
              </w:rPr>
            </w:pPr>
          </w:p>
        </w:tc>
      </w:tr>
      <w:tr>
        <w:trPr>
          <w:trHeight w:val="119"/>
        </w:trPr>
        <w:tc>
          <w:tcPr>
            <w:tcW w:w="774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860" w:type="dxa"/>
            <w:vAlign w:val="bottom"/>
            <w:gridSpan w:val="2"/>
          </w:tcPr>
          <w:p>
            <w:pPr>
              <w:spacing w:after="0"/>
              <w:rPr>
                <w:sz w:val="10"/>
                <w:szCs w:val="10"/>
                <w:color w:val="auto"/>
              </w:rPr>
            </w:pPr>
          </w:p>
        </w:tc>
        <w:tc>
          <w:tcPr>
            <w:tcW w:w="12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0" w:type="dxa"/>
            <w:vAlign w:val="bottom"/>
          </w:tcPr>
          <w:p>
            <w:pPr>
              <w:spacing w:after="0"/>
              <w:rPr>
                <w:sz w:val="10"/>
                <w:szCs w:val="10"/>
                <w:color w:val="auto"/>
              </w:rPr>
            </w:pPr>
          </w:p>
        </w:tc>
      </w:tr>
      <w:tr>
        <w:trPr>
          <w:trHeight w:val="171"/>
        </w:trPr>
        <w:tc>
          <w:tcPr>
            <w:tcW w:w="7740" w:type="dxa"/>
            <w:vAlign w:val="bottom"/>
          </w:tcPr>
          <w:p>
            <w:pPr>
              <w:spacing w:after="0"/>
              <w:rPr>
                <w:sz w:val="14"/>
                <w:szCs w:val="14"/>
                <w:color w:val="auto"/>
              </w:rPr>
            </w:pPr>
          </w:p>
        </w:tc>
        <w:tc>
          <w:tcPr>
            <w:tcW w:w="202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color w:val="auto"/>
                <w:w w:val="99"/>
              </w:rPr>
              <w:t>USD</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USD</w:t>
            </w:r>
          </w:p>
        </w:tc>
      </w:tr>
      <w:tr>
        <w:trPr>
          <w:trHeight w:val="210"/>
        </w:trPr>
        <w:tc>
          <w:tcPr>
            <w:tcW w:w="7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w:t>
            </w:r>
          </w:p>
        </w:tc>
        <w:tc>
          <w:tcPr>
            <w:tcW w:w="8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1,894</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20,259</w:t>
            </w:r>
          </w:p>
        </w:tc>
        <w:tc>
          <w:tcPr>
            <w:tcW w:w="8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13,527</w:t>
            </w: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6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Each ADS represents ten common shares.</w:t>
      </w:r>
    </w:p>
    <w:p>
      <w:pPr>
        <w:sectPr>
          <w:pgSz w:w="11900" w:h="16838" w:orient="portrait"/>
          <w:cols w:equalWidth="0" w:num="1">
            <w:col w:w="11020"/>
          </w:cols>
          <w:pgMar w:left="440" w:top="266"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ORIENTAL EDUCATION &amp; TECHNOLOGY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3120" w:type="dxa"/>
            <w:vAlign w:val="bottom"/>
            <w:gridSpan w:val="4"/>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For the Three Months Ended February 28</w:t>
            </w:r>
          </w:p>
        </w:tc>
      </w:tr>
      <w:tr>
        <w:trPr>
          <w:trHeight w:val="142"/>
        </w:trPr>
        <w:tc>
          <w:tcPr>
            <w:tcW w:w="7900" w:type="dxa"/>
            <w:vAlign w:val="bottom"/>
          </w:tcPr>
          <w:p>
            <w:pPr>
              <w:spacing w:after="0"/>
              <w:rPr>
                <w:sz w:val="12"/>
                <w:szCs w:val="12"/>
                <w:color w:val="auto"/>
              </w:rPr>
            </w:pPr>
          </w:p>
        </w:tc>
        <w:tc>
          <w:tcPr>
            <w:tcW w:w="1160" w:type="dxa"/>
            <w:vAlign w:val="bottom"/>
            <w:tcBorders>
              <w:top w:val="single" w:sz="8" w:color="auto"/>
              <w:bottom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19"/>
        </w:trPr>
        <w:tc>
          <w:tcPr>
            <w:tcW w:w="7900" w:type="dxa"/>
            <w:vAlign w:val="bottom"/>
          </w:tcPr>
          <w:p>
            <w:pPr>
              <w:spacing w:after="0"/>
              <w:rPr>
                <w:sz w:val="10"/>
                <w:szCs w:val="10"/>
                <w:color w:val="auto"/>
              </w:rPr>
            </w:pPr>
          </w:p>
        </w:tc>
        <w:tc>
          <w:tcPr>
            <w:tcW w:w="1160" w:type="dxa"/>
            <w:vAlign w:val="bottom"/>
          </w:tcPr>
          <w:p>
            <w:pPr>
              <w:ind w:left="200"/>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60" w:type="dxa"/>
            <w:vAlign w:val="bottom"/>
          </w:tcPr>
          <w:p>
            <w:pPr>
              <w:spacing w:after="0"/>
              <w:rPr>
                <w:sz w:val="10"/>
                <w:szCs w:val="10"/>
                <w:color w:val="auto"/>
              </w:rPr>
            </w:pPr>
          </w:p>
        </w:tc>
        <w:tc>
          <w:tcPr>
            <w:tcW w:w="1180" w:type="dxa"/>
            <w:vAlign w:val="bottom"/>
          </w:tcPr>
          <w:p>
            <w:pPr>
              <w:jc w:val="right"/>
              <w:ind w:right="136"/>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0"/>
                <w:szCs w:val="10"/>
                <w:color w:val="auto"/>
              </w:rPr>
            </w:pPr>
          </w:p>
        </w:tc>
      </w:tr>
      <w:tr>
        <w:trPr>
          <w:trHeight w:val="171"/>
        </w:trPr>
        <w:tc>
          <w:tcPr>
            <w:tcW w:w="7900" w:type="dxa"/>
            <w:vAlign w:val="bottom"/>
          </w:tcPr>
          <w:p>
            <w:pPr>
              <w:spacing w:after="0"/>
              <w:rPr>
                <w:sz w:val="14"/>
                <w:szCs w:val="14"/>
                <w:color w:val="auto"/>
              </w:rPr>
            </w:pP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USD</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USD</w:t>
            </w: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6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8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48,717</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79,891</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(137,988)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(94,581)</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8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35,385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(8,069)</w:t>
            </w:r>
          </w:p>
        </w:tc>
      </w:tr>
      <w:tr>
        <w:trPr>
          <w:trHeight w:val="27"/>
        </w:trPr>
        <w:tc>
          <w:tcPr>
            <w:tcW w:w="79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8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(61,341)</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(21,796)</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116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7"/>
              </w:rPr>
              <w:t>2,098,138</w:t>
            </w:r>
          </w:p>
        </w:tc>
        <w:tc>
          <w:tcPr>
            <w:tcW w:w="66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1,611,073</w:t>
            </w:r>
          </w:p>
        </w:tc>
        <w:tc>
          <w:tcPr>
            <w:tcW w:w="120" w:type="dxa"/>
            <w:vAlign w:val="bottom"/>
          </w:tcPr>
          <w:p>
            <w:pPr>
              <w:spacing w:after="0"/>
              <w:rPr>
                <w:sz w:val="19"/>
                <w:szCs w:val="19"/>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8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2,036,797</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1,589,277</w:t>
            </w:r>
          </w:p>
        </w:tc>
      </w:tr>
    </w:tbl>
    <w:p>
      <w:pPr>
        <w:sectPr>
          <w:pgSz w:w="11900" w:h="16838" w:orient="portrait"/>
          <w:cols w:equalWidth="0" w:num="1">
            <w:col w:w="11020"/>
          </w:cols>
          <w:pgMar w:left="440" w:top="266" w:right="4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ORIENTAL EDUCATION &amp; TECHNOLOGY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for per share and per ADS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30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Nine Months Ended February 28</w:t>
            </w:r>
          </w:p>
        </w:tc>
      </w:tr>
      <w:tr>
        <w:trPr>
          <w:trHeight w:val="142"/>
        </w:trPr>
        <w:tc>
          <w:tcPr>
            <w:tcW w:w="79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19"/>
        </w:trPr>
        <w:tc>
          <w:tcPr>
            <w:tcW w:w="7940" w:type="dxa"/>
            <w:vAlign w:val="bottom"/>
          </w:tcPr>
          <w:p>
            <w:pPr>
              <w:spacing w:after="0"/>
              <w:rPr>
                <w:sz w:val="10"/>
                <w:szCs w:val="10"/>
                <w:color w:val="auto"/>
              </w:rPr>
            </w:pPr>
          </w:p>
        </w:tc>
        <w:tc>
          <w:tcPr>
            <w:tcW w:w="1140" w:type="dxa"/>
            <w:vAlign w:val="bottom"/>
          </w:tcPr>
          <w:p>
            <w:pPr>
              <w:jc w:val="right"/>
              <w:ind w:right="114"/>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40" w:type="dxa"/>
            <w:vAlign w:val="bottom"/>
          </w:tcPr>
          <w:p>
            <w:pPr>
              <w:spacing w:after="0"/>
              <w:rPr>
                <w:sz w:val="10"/>
                <w:szCs w:val="10"/>
                <w:color w:val="auto"/>
              </w:rPr>
            </w:pPr>
          </w:p>
        </w:tc>
        <w:tc>
          <w:tcPr>
            <w:tcW w:w="1180" w:type="dxa"/>
            <w:vAlign w:val="bottom"/>
          </w:tcPr>
          <w:p>
            <w:pPr>
              <w:jc w:val="right"/>
              <w:ind w:right="133"/>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0"/>
                <w:szCs w:val="10"/>
                <w:color w:val="auto"/>
              </w:rPr>
            </w:pPr>
          </w:p>
        </w:tc>
      </w:tr>
      <w:tr>
        <w:trPr>
          <w:trHeight w:val="171"/>
        </w:trPr>
        <w:tc>
          <w:tcPr>
            <w:tcW w:w="7940" w:type="dxa"/>
            <w:vAlign w:val="bottom"/>
          </w:tcPr>
          <w:p>
            <w:pPr>
              <w:spacing w:after="0"/>
              <w:rPr>
                <w:sz w:val="14"/>
                <w:szCs w:val="14"/>
                <w:color w:val="auto"/>
              </w:rPr>
            </w:pPr>
          </w:p>
        </w:tc>
        <w:tc>
          <w:tcPr>
            <w:tcW w:w="178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color w:val="auto"/>
              </w:rPr>
              <w:t>USD</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USD</w:t>
            </w:r>
          </w:p>
        </w:tc>
      </w:tr>
      <w:tr>
        <w:trPr>
          <w:trHeight w:val="209"/>
        </w:trPr>
        <w:tc>
          <w:tcPr>
            <w:tcW w:w="7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4,131,762</w:t>
            </w:r>
          </w:p>
        </w:tc>
        <w:tc>
          <w:tcPr>
            <w:tcW w:w="6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3,657,107</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 and expenses (note 1)</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1,850,856</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1,613,419</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593,346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572,053</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1,130,106</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1,034,711</w:t>
            </w: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3,574,308</w:t>
            </w:r>
          </w:p>
        </w:tc>
        <w:tc>
          <w:tcPr>
            <w:tcW w:w="64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3,220,183</w:t>
            </w:r>
          </w:p>
        </w:tc>
        <w:tc>
          <w:tcPr>
            <w:tcW w:w="120" w:type="dxa"/>
            <w:vAlign w:val="bottom"/>
          </w:tcPr>
          <w:p>
            <w:pPr>
              <w:spacing w:after="0"/>
              <w:rPr>
                <w:sz w:val="20"/>
                <w:szCs w:val="20"/>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557,454</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436,924</w:t>
            </w:r>
          </w:p>
        </w:tc>
      </w:t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Gain/(Loss) from fair value change of investments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64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120" w:type="dxa"/>
            <w:vAlign w:val="bottom"/>
          </w:tcPr>
          <w:p>
            <w:pPr>
              <w:spacing w:after="0"/>
              <w:rPr>
                <w:sz w:val="19"/>
                <w:szCs w:val="19"/>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61,311</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99,190</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(170,732)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(144,759)</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7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(11,997)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(17,239)</w:t>
            </w:r>
          </w:p>
        </w:tc>
      </w:t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443,687</w:t>
            </w:r>
          </w:p>
        </w:tc>
        <w:tc>
          <w:tcPr>
            <w:tcW w:w="6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364,496</w:t>
            </w:r>
          </w:p>
        </w:tc>
        <w:tc>
          <w:tcPr>
            <w:tcW w:w="12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attributable to non-controlling interests</w:t>
            </w:r>
          </w:p>
        </w:tc>
        <w:tc>
          <w:tcPr>
            <w:tcW w:w="17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(30,697)</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New Oriental Education &amp; Technology Group Inc.’s shareholders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412,990</w:t>
            </w:r>
          </w:p>
        </w:tc>
        <w:tc>
          <w:tcPr>
            <w:tcW w:w="6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364,616</w:t>
            </w:r>
          </w:p>
        </w:tc>
        <w:tc>
          <w:tcPr>
            <w:tcW w:w="12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New Oriental-Basic (note 2)</w:t>
            </w:r>
          </w:p>
        </w:tc>
        <w:tc>
          <w:tcPr>
            <w:tcW w:w="1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0.26</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New Oriental-Diluted (note 2)</w:t>
            </w: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0.26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 attributable to New Oriental-Basic (note 2)</w:t>
            </w:r>
          </w:p>
        </w:tc>
        <w:tc>
          <w:tcPr>
            <w:tcW w:w="1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2.61</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r>
      <w:tr>
        <w:trPr>
          <w:trHeight w:val="238"/>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ADS attributable to New Oriental-Diluted (note 2)</w:t>
            </w: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2.58</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r>
    </w:tbl>
    <w:p>
      <w:pPr>
        <w:sectPr>
          <w:pgSz w:w="11900" w:h="16838" w:orient="portrait"/>
          <w:cols w:equalWidth="0" w:num="1">
            <w:col w:w="11020"/>
          </w:cols>
          <w:pgMar w:left="440" w:top="266" w:right="439" w:bottom="1440" w:gutter="0" w:footer="0" w:header="0"/>
        </w:sectPr>
      </w:pPr>
    </w:p>
    <w:bookmarkStart w:id="14" w:name="page15"/>
    <w:bookmarkEnd w:id="14"/>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ORIENTAL EDUCATION &amp; TECHNOLOGY GROUP INC. RECONCILIATION OF NON-GAAP MEASURES TO THE MOST COMPARABLE GAAP MEASURES (In thousands except for per share and per ADS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27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 February 28</w:t>
            </w:r>
          </w:p>
        </w:tc>
      </w:tr>
      <w:tr>
        <w:trPr>
          <w:trHeight w:val="142"/>
        </w:trPr>
        <w:tc>
          <w:tcPr>
            <w:tcW w:w="824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r>
      <w:tr>
        <w:trPr>
          <w:trHeight w:val="119"/>
        </w:trPr>
        <w:tc>
          <w:tcPr>
            <w:tcW w:w="8240" w:type="dxa"/>
            <w:vAlign w:val="bottom"/>
          </w:tcPr>
          <w:p>
            <w:pPr>
              <w:spacing w:after="0"/>
              <w:rPr>
                <w:sz w:val="10"/>
                <w:szCs w:val="10"/>
                <w:color w:val="auto"/>
              </w:rPr>
            </w:pPr>
          </w:p>
        </w:tc>
        <w:tc>
          <w:tcPr>
            <w:tcW w:w="1120" w:type="dxa"/>
            <w:vAlign w:val="bottom"/>
          </w:tcPr>
          <w:p>
            <w:pPr>
              <w:jc w:val="right"/>
              <w:ind w:right="113"/>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300" w:type="dxa"/>
            <w:vAlign w:val="bottom"/>
          </w:tcPr>
          <w:p>
            <w:pPr>
              <w:spacing w:after="0"/>
              <w:rPr>
                <w:sz w:val="10"/>
                <w:szCs w:val="10"/>
                <w:color w:val="auto"/>
              </w:rPr>
            </w:pPr>
          </w:p>
        </w:tc>
        <w:tc>
          <w:tcPr>
            <w:tcW w:w="1140" w:type="dxa"/>
            <w:vAlign w:val="bottom"/>
          </w:tcPr>
          <w:p>
            <w:pPr>
              <w:jc w:val="right"/>
              <w:ind w:right="112"/>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r>
      <w:tr>
        <w:trPr>
          <w:trHeight w:val="171"/>
        </w:trPr>
        <w:tc>
          <w:tcPr>
            <w:tcW w:w="824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USD</w:t>
            </w: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USD</w:t>
            </w: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557,454</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436,924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65,755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31,297</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resulting from business acquisitions</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4,349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4,329</w:t>
            </w: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627,558</w:t>
            </w:r>
          </w:p>
        </w:tc>
        <w:tc>
          <w:tcPr>
            <w:tcW w:w="3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472,550</w:t>
            </w:r>
          </w:p>
        </w:tc>
        <w:tc>
          <w:tcPr>
            <w:tcW w:w="220" w:type="dxa"/>
            <w:vAlign w:val="bottom"/>
          </w:tcPr>
          <w:p>
            <w:pPr>
              <w:spacing w:after="0"/>
              <w:rPr>
                <w:sz w:val="20"/>
                <w:szCs w:val="20"/>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New Oriental</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412,990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364,616</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63,084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27,655</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from fair value change of investments</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(7,651)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resulting from business acquisitions</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2,696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2,703</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11,997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17,239</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disposals of investments and others</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 on Non-GAAP adjustments</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1,746</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(2,684)</w:t>
            </w: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attributable to New Oriental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483,346</w:t>
            </w:r>
          </w:p>
        </w:tc>
        <w:tc>
          <w:tcPr>
            <w:tcW w:w="3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418,988</w:t>
            </w:r>
          </w:p>
        </w:tc>
        <w:tc>
          <w:tcPr>
            <w:tcW w:w="220" w:type="dxa"/>
            <w:vAlign w:val="bottom"/>
          </w:tcPr>
          <w:p>
            <w:pPr>
              <w:spacing w:after="0"/>
              <w:rPr>
                <w:sz w:val="20"/>
                <w:szCs w:val="20"/>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ADS attributable to New Oriental- Basic (note 2)</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ADS attributable to New Oriental- Diluted (note 2)</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per ADS attributable to New Oriental - Basic (note 2)</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ADS attributable to New Oriental - Diluted (note 2)</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basic net income per ADS (note 2)</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1,584,608,307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1,630,423,658</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income per ADS (note 2)</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1,599,858,607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1,640,843,710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0.26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r>
    </w:tbl>
    <w:p>
      <w:pPr>
        <w:sectPr>
          <w:pgSz w:w="11900" w:h="16838" w:orient="portrait"/>
          <w:cols w:equalWidth="0" w:num="1">
            <w:col w:w="11020"/>
          </w:cols>
          <w:pgMar w:left="440" w:top="266"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Share-based compensation expenses (in thousands) are included in the operating costs and expenses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2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Nine Months Ended February 28</w:t>
            </w:r>
          </w:p>
        </w:tc>
      </w:tr>
      <w:tr>
        <w:trPr>
          <w:trHeight w:val="142"/>
        </w:trPr>
        <w:tc>
          <w:tcPr>
            <w:tcW w:w="77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19"/>
        </w:trPr>
        <w:tc>
          <w:tcPr>
            <w:tcW w:w="774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840" w:type="dxa"/>
            <w:vAlign w:val="bottom"/>
            <w:gridSpan w:val="2"/>
          </w:tcPr>
          <w:p>
            <w:pPr>
              <w:spacing w:after="0"/>
              <w:rPr>
                <w:sz w:val="10"/>
                <w:szCs w:val="10"/>
                <w:color w:val="auto"/>
              </w:rPr>
            </w:pPr>
          </w:p>
        </w:tc>
        <w:tc>
          <w:tcPr>
            <w:tcW w:w="1180" w:type="dxa"/>
            <w:vAlign w:val="bottom"/>
          </w:tcPr>
          <w:p>
            <w:pPr>
              <w:jc w:val="right"/>
              <w:ind w:right="138"/>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0"/>
                <w:szCs w:val="10"/>
                <w:color w:val="auto"/>
              </w:rPr>
            </w:pPr>
          </w:p>
        </w:tc>
      </w:tr>
      <w:tr>
        <w:trPr>
          <w:trHeight w:val="171"/>
        </w:trPr>
        <w:tc>
          <w:tcPr>
            <w:tcW w:w="7740" w:type="dxa"/>
            <w:vAlign w:val="bottom"/>
          </w:tcPr>
          <w:p>
            <w:pPr>
              <w:spacing w:after="0"/>
              <w:rPr>
                <w:sz w:val="14"/>
                <w:szCs w:val="14"/>
                <w:color w:val="auto"/>
              </w:rPr>
            </w:pPr>
          </w:p>
        </w:tc>
        <w:tc>
          <w:tcPr>
            <w:tcW w:w="198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color w:val="auto"/>
              </w:rPr>
              <w:t>USD</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USD</w:t>
            </w:r>
          </w:p>
        </w:tc>
      </w:tr>
      <w:tr>
        <w:trPr>
          <w:trHeight w:val="210"/>
        </w:trPr>
        <w:tc>
          <w:tcPr>
            <w:tcW w:w="7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1,918</w:t>
            </w:r>
          </w:p>
        </w:tc>
        <w:tc>
          <w:tcPr>
            <w:tcW w:w="8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3,383</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63,171</w:t>
            </w:r>
          </w:p>
        </w:tc>
        <w:tc>
          <w:tcPr>
            <w:tcW w:w="8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29,652</w:t>
            </w: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65,755</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31,297</w:t>
            </w:r>
          </w:p>
        </w:tc>
        <w:tc>
          <w:tcPr>
            <w:tcW w:w="12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Each ADS represents ten common shares.</w:t>
      </w:r>
    </w:p>
    <w:p>
      <w:pPr>
        <w:sectPr>
          <w:pgSz w:w="11900" w:h="16838" w:orient="portrait"/>
          <w:cols w:equalWidth="0" w:num="1">
            <w:col w:w="11020"/>
          </w:cols>
          <w:pgMar w:left="440" w:top="266" w:right="43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ORIENTAL EDUCATION &amp; TECHNOLOGY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58"/>
        </w:trPr>
        <w:tc>
          <w:tcPr>
            <w:tcW w:w="7940" w:type="dxa"/>
            <w:vAlign w:val="bottom"/>
          </w:tcPr>
          <w:p>
            <w:pPr>
              <w:spacing w:after="0"/>
              <w:rPr>
                <w:sz w:val="13"/>
                <w:szCs w:val="13"/>
                <w:color w:val="auto"/>
              </w:rPr>
            </w:pPr>
          </w:p>
        </w:tc>
        <w:tc>
          <w:tcPr>
            <w:tcW w:w="3080" w:type="dxa"/>
            <w:vAlign w:val="bottom"/>
            <w:gridSpan w:val="4"/>
          </w:tcPr>
          <w:p>
            <w:pPr>
              <w:jc w:val="right"/>
              <w:ind w:right="340"/>
              <w:spacing w:after="0" w:line="157" w:lineRule="exact"/>
              <w:rPr>
                <w:sz w:val="20"/>
                <w:szCs w:val="20"/>
                <w:color w:val="auto"/>
              </w:rPr>
            </w:pPr>
            <w:r>
              <w:rPr>
                <w:rFonts w:ascii="Times New Roman" w:cs="Times New Roman" w:eastAsia="Times New Roman" w:hAnsi="Times New Roman"/>
                <w:sz w:val="14"/>
                <w:szCs w:val="14"/>
                <w:b w:val="1"/>
                <w:bCs w:val="1"/>
                <w:color w:val="auto"/>
              </w:rPr>
              <w:t>For the Nine Months Ended February 28</w:t>
            </w:r>
          </w:p>
        </w:tc>
      </w:tr>
      <w:tr>
        <w:trPr>
          <w:trHeight w:val="142"/>
        </w:trPr>
        <w:tc>
          <w:tcPr>
            <w:tcW w:w="79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19"/>
        </w:trPr>
        <w:tc>
          <w:tcPr>
            <w:tcW w:w="7940" w:type="dxa"/>
            <w:vAlign w:val="bottom"/>
          </w:tcPr>
          <w:p>
            <w:pPr>
              <w:spacing w:after="0"/>
              <w:rPr>
                <w:sz w:val="10"/>
                <w:szCs w:val="10"/>
                <w:color w:val="auto"/>
              </w:rPr>
            </w:pPr>
          </w:p>
        </w:tc>
        <w:tc>
          <w:tcPr>
            <w:tcW w:w="1140" w:type="dxa"/>
            <w:vAlign w:val="bottom"/>
          </w:tcPr>
          <w:p>
            <w:pPr>
              <w:jc w:val="right"/>
              <w:ind w:right="117"/>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40" w:type="dxa"/>
            <w:vAlign w:val="bottom"/>
          </w:tcPr>
          <w:p>
            <w:pPr>
              <w:spacing w:after="0"/>
              <w:rPr>
                <w:sz w:val="10"/>
                <w:szCs w:val="10"/>
                <w:color w:val="auto"/>
              </w:rPr>
            </w:pPr>
          </w:p>
        </w:tc>
        <w:tc>
          <w:tcPr>
            <w:tcW w:w="1180" w:type="dxa"/>
            <w:vAlign w:val="bottom"/>
          </w:tcPr>
          <w:p>
            <w:pPr>
              <w:jc w:val="right"/>
              <w:ind w:right="136"/>
              <w:spacing w:after="0" w:line="11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0"/>
                <w:szCs w:val="10"/>
                <w:color w:val="auto"/>
              </w:rPr>
            </w:pPr>
          </w:p>
        </w:tc>
      </w:tr>
      <w:tr>
        <w:trPr>
          <w:trHeight w:val="171"/>
        </w:trPr>
        <w:tc>
          <w:tcPr>
            <w:tcW w:w="7940" w:type="dxa"/>
            <w:vAlign w:val="bottom"/>
          </w:tcPr>
          <w:p>
            <w:pPr>
              <w:spacing w:after="0"/>
              <w:rPr>
                <w:sz w:val="14"/>
                <w:szCs w:val="14"/>
                <w:color w:val="auto"/>
              </w:rPr>
            </w:pPr>
          </w:p>
        </w:tc>
        <w:tc>
          <w:tcPr>
            <w:tcW w:w="178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color w:val="auto"/>
              </w:rPr>
              <w:t>USD</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USD</w:t>
            </w:r>
          </w:p>
        </w:tc>
      </w:tr>
      <w:tr>
        <w:trPr>
          <w:trHeight w:val="210"/>
        </w:trPr>
        <w:tc>
          <w:tcPr>
            <w:tcW w:w="7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508,331</w:t>
            </w:r>
          </w:p>
        </w:tc>
        <w:tc>
          <w:tcPr>
            <w:tcW w:w="6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497,470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(125,576)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(5,136)</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7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(227,433)</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(486,494)</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64,342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(5,667)</w:t>
            </w:r>
          </w:p>
        </w:tc>
      </w:tr>
      <w:tr>
        <w:trPr>
          <w:trHeight w:val="27"/>
        </w:trPr>
        <w:tc>
          <w:tcPr>
            <w:tcW w:w="7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219,664</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1,817,133</w:t>
            </w:r>
          </w:p>
        </w:tc>
        <w:tc>
          <w:tcPr>
            <w:tcW w:w="64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1,589,104</w:t>
            </w:r>
          </w:p>
        </w:tc>
        <w:tc>
          <w:tcPr>
            <w:tcW w:w="120" w:type="dxa"/>
            <w:vAlign w:val="bottom"/>
          </w:tcPr>
          <w:p>
            <w:pPr>
              <w:spacing w:after="0"/>
              <w:rPr>
                <w:sz w:val="19"/>
                <w:szCs w:val="19"/>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2,036,797</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1,589,277</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2026-04-22T08:27:53Z</dcterms:created>
  <dcterms:modified xsi:type="dcterms:W3CDTF">2026-04-22T08:27:53Z</dcterms:modified>
</cp:coreProperties>
</file>