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52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52440"/>
                    </a:xfrm>
                    <a:prstGeom prst="rect">
                      <a:avLst/>
                    </a:prstGeom>
                    <a:noFill/>
                  </pic:spPr>
                </pic:pic>
              </a:graphicData>
            </a:graphic>
          </wp:anchor>
        </w:drawing>
      </w:r>
    </w:p>
    <w:p>
      <w:pPr>
        <w:sectPr>
          <w:pgSz w:w="11900" w:h="16838" w:orient="portrait"/>
          <w:cols w:equalWidth="0" w:num="1">
            <w:col w:w="10940"/>
          </w:cols>
          <w:pgMar w:left="480" w:top="230" w:right="479" w:bottom="106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Yu Michael Minhong</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03/13/2026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New Oriental Education &amp; Technology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EDU</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3">
            <w:col w:w="2960" w:space="400"/>
            <w:col w:w="1360" w:space="280"/>
            <w:col w:w="5940"/>
          </w:cols>
          <w:pgMar w:left="480" w:top="230" w:right="479" w:bottom="106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338" w:lineRule="auto"/>
        <w:rPr>
          <w:sz w:val="20"/>
          <w:szCs w:val="20"/>
          <w:color w:val="auto"/>
        </w:rPr>
      </w:pPr>
      <w:r>
        <w:rPr>
          <w:rFonts w:ascii="Times New Roman" w:cs="Times New Roman" w:eastAsia="Times New Roman" w:hAnsi="Times New Roman"/>
          <w:sz w:val="20"/>
          <w:szCs w:val="20"/>
          <w:color w:val="0000FF"/>
        </w:rPr>
        <w:t>NO. 6 HAI DIAN ZHONG STREET HAIDIAN DISTRICT</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100080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06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400" w:type="dxa"/>
            <w:vAlign w:val="bottom"/>
            <w:gridSpan w:val="3"/>
          </w:tcPr>
          <w:p>
            <w:pPr>
              <w:ind w:left="22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400" w:type="dxa"/>
            <w:vAlign w:val="bottom"/>
            <w:gridSpan w:val="3"/>
          </w:tcPr>
          <w:p>
            <w:pPr>
              <w:ind w:left="22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400" w:type="dxa"/>
            <w:vAlign w:val="bottom"/>
            <w:gridSpan w:val="3"/>
          </w:tcPr>
          <w:p>
            <w:pPr>
              <w:ind w:left="22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0" w:type="dxa"/>
            <w:vAlign w:val="bottom"/>
            <w:gridSpan w:val="3"/>
          </w:tcPr>
          <w:p>
            <w:pPr>
              <w:ind w:left="22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ADS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124,901</w:t>
            </w:r>
          </w:p>
        </w:tc>
        <w:tc>
          <w:tcPr>
            <w:tcW w:w="82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ADS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3,315,054</w:t>
            </w:r>
          </w:p>
        </w:tc>
        <w:tc>
          <w:tcPr>
            <w:tcW w:w="820" w:type="dxa"/>
            <w:vAlign w:val="bottom"/>
            <w:gridSpan w:val="2"/>
            <w:vMerge w:val="restart"/>
          </w:tcPr>
          <w:p>
            <w:pPr>
              <w:ind w:left="70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Tigerstep Developments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(2)</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gridSpan w:val="2"/>
            <w:vMerge w:val="continue"/>
          </w:tcPr>
          <w:p>
            <w:pPr>
              <w:spacing w:after="0"/>
              <w:rPr>
                <w:sz w:val="16"/>
                <w:szCs w:val="16"/>
                <w:color w:val="auto"/>
              </w:rPr>
            </w:pPr>
          </w:p>
        </w:tc>
        <w:tc>
          <w:tcPr>
            <w:tcW w:w="14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165,235,000</w:t>
            </w:r>
          </w:p>
        </w:tc>
        <w:tc>
          <w:tcPr>
            <w:tcW w:w="820" w:type="dxa"/>
            <w:vAlign w:val="bottom"/>
            <w:gridSpan w:val="2"/>
            <w:vMerge w:val="restart"/>
          </w:tcPr>
          <w:p>
            <w:pPr>
              <w:ind w:left="70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Tigerstep Developments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Limited</w:t>
            </w:r>
            <w:r>
              <w:rPr>
                <w:rFonts w:ascii="Times New Roman" w:cs="Times New Roman" w:eastAsia="Times New Roman" w:hAnsi="Times New Roman"/>
                <w:sz w:val="25"/>
                <w:szCs w:val="25"/>
                <w:color w:val="008000"/>
                <w:vertAlign w:val="superscript"/>
              </w:rPr>
              <w:t>(2)</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18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gridSpan w:val="2"/>
            <w:vMerge w:val="continue"/>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06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4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60" w:type="dxa"/>
            <w:vAlign w:val="bottom"/>
          </w:tcPr>
          <w:p>
            <w:pPr>
              <w:spacing w:after="0"/>
              <w:rPr>
                <w:sz w:val="14"/>
                <w:szCs w:val="14"/>
                <w:color w:val="auto"/>
              </w:rPr>
            </w:pPr>
          </w:p>
        </w:tc>
        <w:tc>
          <w:tcPr>
            <w:tcW w:w="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6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82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20" w:type="dxa"/>
            <w:vAlign w:val="bottom"/>
          </w:tcPr>
          <w:p>
            <w:pPr>
              <w:jc w:val="right"/>
              <w:ind w:right="229"/>
              <w:spacing w:after="0"/>
              <w:rPr>
                <w:sz w:val="20"/>
                <w:szCs w:val="20"/>
                <w:color w:val="auto"/>
              </w:rPr>
            </w:pPr>
            <w:r>
              <w:rPr>
                <w:rFonts w:ascii="Times New Roman" w:cs="Times New Roman" w:eastAsia="Times New Roman" w:hAnsi="Times New Roman"/>
                <w:sz w:val="13"/>
                <w:szCs w:val="13"/>
                <w:color w:val="008000"/>
              </w:rPr>
              <w:t>(3)</w:t>
            </w:r>
          </w:p>
        </w:tc>
        <w:tc>
          <w:tcPr>
            <w:tcW w:w="1860" w:type="dxa"/>
            <w:vAlign w:val="bottom"/>
          </w:tcPr>
          <w:p>
            <w:pPr>
              <w:ind w:left="760"/>
              <w:spacing w:after="0"/>
              <w:rPr>
                <w:sz w:val="20"/>
                <w:szCs w:val="20"/>
                <w:color w:val="auto"/>
              </w:rPr>
            </w:pPr>
            <w:r>
              <w:rPr>
                <w:rFonts w:ascii="Times New Roman" w:cs="Times New Roman" w:eastAsia="Times New Roman" w:hAnsi="Times New Roman"/>
                <w:sz w:val="20"/>
                <w:szCs w:val="20"/>
                <w:color w:val="0000FF"/>
              </w:rPr>
              <w:t>ADS</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450,000</w:t>
            </w:r>
          </w:p>
        </w:tc>
        <w:tc>
          <w:tcPr>
            <w:tcW w:w="4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(4)</w:t>
            </w:r>
          </w:p>
        </w:tc>
        <w:tc>
          <w:tcPr>
            <w:tcW w:w="36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ADS representing ten underlying common shares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Through a trust arrangement, Mr. Michael Minhong Yu, together with his family, holds beneficial interest in Tigerstep Developments Limited.</w:t>
      </w:r>
    </w:p>
    <w:p>
      <w:pPr>
        <w:spacing w:after="0" w:line="52" w:lineRule="exact"/>
        <w:rPr>
          <w:rFonts w:ascii="Times New Roman" w:cs="Times New Roman" w:eastAsia="Times New Roman" w:hAnsi="Times New Roman"/>
          <w:sz w:val="15"/>
          <w:szCs w:val="15"/>
          <w:color w:val="008000"/>
        </w:rPr>
      </w:pPr>
    </w:p>
    <w:p>
      <w:pPr>
        <w:jc w:val="both"/>
        <w:ind w:left="40" w:right="2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granted to the reporting person on January 26, 2025. The restricted share units vest as follows: 150,000 ADSs vest on July 15, 2026, 150,000 ADSs vest on July 15, 2027 and the remaining 150,000 ADSs vest on July 15, 2028, subject to the reporting person's continued service through the applicable vesting dates. The restricted share units have no expiration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a contingent right to receive 1/10 ADS of the Issuer.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YU MICHAEL</w:t>
            </w:r>
          </w:p>
        </w:tc>
        <w:tc>
          <w:tcPr>
            <w:tcW w:w="9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4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MINHONG</w:t>
            </w:r>
          </w:p>
        </w:tc>
        <w:tc>
          <w:tcPr>
            <w:tcW w:w="124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0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8269" TargetMode="External"/><Relationship Id="rId11" Type="http://schemas.openxmlformats.org/officeDocument/2006/relationships/hyperlink" Target="http://www.sec.gov/cgi-bin/browse-edgar?action=getcompany&amp;CIK=0001372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2026-03-13T05:40:26Z</dcterms:created>
  <dcterms:modified xsi:type="dcterms:W3CDTF">2026-03-13T05:40:26Z</dcterms:modified>
</cp:coreProperties>
</file>