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6521d6k.htm"/>
      <w:bookmarkStart w:id="1" w:name="ksd176521d6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October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001-32993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NEW ORIENTAL EDUCATION &amp; TECHNOLOGY GROUP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No. 6 Hai Dian Zhong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w:t>
      </w:r>
    </w:p>
    <w:p>
      <w:pPr>
        <w:pStyle w:val="TextBody"/>
        <w:bidi w:val="0"/>
        <w:spacing w:before="0" w:after="0"/>
        <w:jc w:val="center"/>
        <w:rPr>
          <w:rFonts w:ascii="Times New Roman" w:hAnsi="Times New Roman"/>
          <w:b/>
          <w:sz w:val="20"/>
        </w:rPr>
      </w:pPr>
      <w:r>
        <w:rPr>
          <w:rFonts w:ascii="Times New Roman" w:hAnsi="Times New Roman"/>
          <w:b/>
          <w:sz w:val="20"/>
        </w:rPr>
        <w:t xml:space="preserve">Beijing 100080,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We made an announcement dated October 8, 2026 with The Stock Exchange of Hong Kong Limited relating to the notice of our forthcoming annual general meeting of shareholders, which includes the date and location of the meeting, and the record date of our forthcoming annual general meeting.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pPr>
            <w:r>
              <w:rPr>
                <w:rFonts w:ascii="Times New Roman" w:hAnsi="Times New Roman"/>
                <w:sz w:val="20"/>
              </w:rPr>
              <w:t xml:space="preserve">Exhibit 99.1 – </w:t>
            </w:r>
            <w:hyperlink w:anchor="d176521dex991.htm">
              <w:r>
                <w:rPr>
                  <w:rStyle w:val="InternetLink"/>
                  <w:rFonts w:ascii="Times New Roman" w:hAnsi="Times New Roman"/>
                  <w:sz w:val="20"/>
                </w:rPr>
                <w:t xml:space="preserve">Announcement — Notice of Annual General Meeting of Shareholders and Record Date for Annual General Meeting of Shareholders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New Oriental Education &amp; Technology Group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Stephen Zhihui Yang</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Stephen Zhihui Yang</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Executive President and 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October 8, 2026 </w:t>
      </w:r>
    </w:p>
    <w:p>
      <w:pPr>
        <w:pStyle w:val="TextBody"/>
        <w:bidi w:val="0"/>
        <w:spacing w:before="0" w:after="0"/>
        <w:jc w:val="right"/>
        <w:rPr>
          <w:rFonts w:ascii="Times New Roman" w:hAnsi="Times New Roman"/>
          <w:b/>
          <w:sz w:val="20"/>
        </w:rPr>
      </w:pPr>
      <w:bookmarkStart w:id="2" w:name="d176521dex991.htm"/>
      <w:bookmarkStart w:id="3" w:name="ksd176521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0205" w:type="dxa"/>
            <w:tcBorders>
              <w:top w:val="single" w:sz="2" w:space="0" w:color="000000"/>
              <w:left w:val="single" w:sz="2" w:space="0" w:color="000000"/>
              <w:right w:val="single" w:sz="2" w:space="0" w:color="000000"/>
            </w:tcBorders>
            <w:shd w:fill="CCCCCC" w:val="clear"/>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2" w:space="0" w:color="000000"/>
              <w:bottom w:val="single" w:sz="2" w:space="0" w:color="000000"/>
              <w:right w:val="single" w:sz="2" w:space="0" w:color="000000"/>
            </w:tcBorders>
            <w:shd w:fill="CCCCCC" w:val="clear"/>
            <w:tcMar>
              <w:left w:w="160" w:type="dxa"/>
              <w:bottom w:w="40" w:type="dxa"/>
              <w:right w:w="40" w:type="dxa"/>
            </w:tcMar>
          </w:tcPr>
          <w:p>
            <w:pPr>
              <w:pStyle w:val="TableContents"/>
              <w:bidi w:val="0"/>
              <w:spacing w:before="0" w:after="283"/>
              <w:jc w:val="left"/>
              <w:rPr/>
            </w:pPr>
            <w:r>
              <w:rPr>
                <w:i/>
              </w:rPr>
              <w:t>Hong Kong Exchanges and Clearing Limited and The Stock Exchange of Hong Kong Limited (the “</w:t>
            </w:r>
            <w:r>
              <w:rPr>
                <w:b/>
                <w:i/>
              </w:rPr>
              <w:t>Hong Kong Stock Exchange</w:t>
            </w:r>
            <w:r>
              <w:rPr/>
              <w:t>”</w:t>
            </w:r>
            <w:r>
              <w:rPr>
                <w:i/>
              </w:rPr>
              <w:t>)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2126615" cy="8432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26615" cy="84328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2"/>
        </w:rPr>
      </w:pPr>
      <w:r>
        <w:rPr>
          <w:rFonts w:ascii="Times New Roman" w:hAnsi="Times New Roman"/>
          <w:b/>
          <w:sz w:val="32"/>
        </w:rPr>
        <w:t xml:space="preserve">NEW ORIENTAL EDUCATION &amp; TECHNOLOGY GROUP INC. </w:t>
      </w:r>
    </w:p>
    <w:p>
      <w:pPr>
        <w:pStyle w:val="TextBody"/>
        <w:bidi w:val="0"/>
        <w:spacing w:before="0" w:after="0"/>
        <w:jc w:val="left"/>
        <w:rPr/>
      </w:pPr>
      <w:r>
        <w:rPr/>
        <w:t> </w:t>
      </w:r>
    </w:p>
    <w:p>
      <w:pPr>
        <w:pStyle w:val="TextBody"/>
        <w:bidi w:val="0"/>
        <w:spacing w:before="0" w:after="0"/>
        <w:jc w:val="center"/>
        <w:rPr/>
      </w:pPr>
      <w:r>
        <w:rPr/>
        <w:drawing>
          <wp:inline distT="0" distB="0" distL="0" distR="0">
            <wp:extent cx="4688205" cy="203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688205" cy="20320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i/>
          <w:sz w:val="20"/>
        </w:rPr>
      </w:pPr>
      <w:r>
        <w:rPr>
          <w:rFonts w:ascii="Times New Roman" w:hAnsi="Times New Roman"/>
          <w:i/>
          <w:sz w:val="20"/>
        </w:rPr>
        <w:t xml:space="preserve">(continued in the Cayman Islands with limited liability) </w:t>
      </w:r>
    </w:p>
    <w:p>
      <w:pPr>
        <w:pStyle w:val="TextBody"/>
        <w:bidi w:val="0"/>
        <w:spacing w:before="0" w:after="0"/>
        <w:jc w:val="center"/>
        <w:rPr>
          <w:rFonts w:ascii="Times New Roman" w:hAnsi="Times New Roman"/>
          <w:b/>
          <w:sz w:val="20"/>
        </w:rPr>
      </w:pPr>
      <w:r>
        <w:rPr>
          <w:rFonts w:ascii="Times New Roman" w:hAnsi="Times New Roman"/>
          <w:b/>
          <w:sz w:val="20"/>
        </w:rPr>
        <w:t xml:space="preserve">(Stock Code: 9901)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ANNUAL GENERAL MEETING OF SHAREHOLDERS </w:t>
      </w:r>
    </w:p>
    <w:p>
      <w:pPr>
        <w:pStyle w:val="TextBody"/>
        <w:bidi w:val="0"/>
        <w:spacing w:before="0" w:after="0"/>
        <w:jc w:val="center"/>
        <w:rPr>
          <w:rFonts w:ascii="Times New Roman" w:hAnsi="Times New Roman"/>
          <w:b/>
          <w:sz w:val="20"/>
        </w:rPr>
      </w:pPr>
      <w:r>
        <w:rPr>
          <w:rFonts w:ascii="Times New Roman" w:hAnsi="Times New Roman"/>
          <w:b/>
          <w:sz w:val="20"/>
        </w:rPr>
        <w:t xml:space="preserve">AND RECORD DATE FOR </w:t>
      </w:r>
    </w:p>
    <w:p>
      <w:pPr>
        <w:pStyle w:val="TextBody"/>
        <w:bidi w:val="0"/>
        <w:spacing w:before="0" w:after="0"/>
        <w:jc w:val="center"/>
        <w:rPr>
          <w:rFonts w:ascii="Times New Roman" w:hAnsi="Times New Roman"/>
          <w:b/>
          <w:sz w:val="20"/>
        </w:rPr>
      </w:pPr>
      <w:r>
        <w:rPr>
          <w:rFonts w:ascii="Times New Roman" w:hAnsi="Times New Roman"/>
          <w:b/>
          <w:sz w:val="20"/>
        </w:rPr>
        <w:t xml:space="preserve">ANNUAL GENERAL MEETING OF SHAREHOLDERS </w:t>
      </w:r>
    </w:p>
    <w:p>
      <w:pPr>
        <w:pStyle w:val="TextBody"/>
        <w:bidi w:val="0"/>
        <w:spacing w:before="240" w:after="0"/>
        <w:jc w:val="left"/>
        <w:rPr>
          <w:rFonts w:ascii="Times New Roman" w:hAnsi="Times New Roman"/>
          <w:b/>
          <w:sz w:val="20"/>
        </w:rPr>
      </w:pPr>
      <w:r>
        <w:rPr>
          <w:rFonts w:ascii="Times New Roman" w:hAnsi="Times New Roman"/>
          <w:b/>
          <w:sz w:val="20"/>
        </w:rPr>
        <w:t xml:space="preserve">Notice of Annual General Meeting </w:t>
      </w:r>
    </w:p>
    <w:p>
      <w:pPr>
        <w:pStyle w:val="TextBody"/>
        <w:bidi w:val="0"/>
        <w:spacing w:before="120" w:after="0"/>
        <w:jc w:val="left"/>
        <w:rPr>
          <w:rFonts w:ascii="Times New Roman" w:hAnsi="Times New Roman"/>
          <w:sz w:val="20"/>
        </w:rPr>
      </w:pPr>
      <w:r>
        <w:rPr>
          <w:rFonts w:ascii="Times New Roman" w:hAnsi="Times New Roman"/>
          <w:sz w:val="20"/>
        </w:rPr>
        <w:t>New Oriental Education &amp; Technology Group Inc. (the “</w:t>
      </w:r>
      <w:r>
        <w:rPr>
          <w:rFonts w:ascii="Times New Roman" w:hAnsi="Times New Roman"/>
          <w:b/>
          <w:sz w:val="20"/>
        </w:rPr>
        <w:t>Company</w:t>
      </w:r>
      <w:r>
        <w:rPr>
          <w:rFonts w:ascii="Times New Roman" w:hAnsi="Times New Roman"/>
          <w:sz w:val="20"/>
        </w:rPr>
        <w:t>”) is pleased to announce that an annual general meeting of shareholders (the “</w:t>
      </w:r>
      <w:r>
        <w:rPr>
          <w:rFonts w:ascii="Times New Roman" w:hAnsi="Times New Roman"/>
          <w:b/>
          <w:sz w:val="20"/>
        </w:rPr>
        <w:t>General Meeting</w:t>
      </w:r>
      <w:r>
        <w:rPr>
          <w:rFonts w:ascii="Times New Roman" w:hAnsi="Times New Roman"/>
          <w:sz w:val="20"/>
        </w:rPr>
        <w:t xml:space="preserve">”) will be held at the following time and location: </w:t>
      </w:r>
    </w:p>
    <w:p>
      <w:pPr>
        <w:pStyle w:val="TextBody"/>
        <w:bidi w:val="0"/>
        <w:spacing w:before="240" w:after="0"/>
        <w:jc w:val="left"/>
        <w:rPr>
          <w:rFonts w:ascii="Times New Roman" w:hAnsi="Times New Roman"/>
          <w:sz w:val="20"/>
        </w:rPr>
      </w:pPr>
      <w:r>
        <w:rPr>
          <w:rFonts w:ascii="Times New Roman" w:hAnsi="Times New Roman"/>
          <w:sz w:val="20"/>
        </w:rPr>
        <w:t xml:space="preserve">Time:    5 p.m. on November 13, 2026 (Beijing/Hong Kong time) </w:t>
      </w:r>
    </w:p>
    <w:p>
      <w:pPr>
        <w:pStyle w:val="TextBody"/>
        <w:bidi w:val="0"/>
        <w:spacing w:before="0" w:after="0"/>
        <w:jc w:val="left"/>
        <w:rPr>
          <w:rFonts w:ascii="Times New Roman" w:hAnsi="Times New Roman"/>
          <w:sz w:val="20"/>
        </w:rPr>
      </w:pPr>
      <w:r>
        <w:rPr>
          <w:rFonts w:ascii="Times New Roman" w:hAnsi="Times New Roman"/>
          <w:sz w:val="20"/>
        </w:rPr>
        <w:t xml:space="preserve">Location:  No. 6, Hai Dian Zhong Street, Haidian District, Beijing, People’s Republic of China </w:t>
      </w:r>
    </w:p>
    <w:p>
      <w:pPr>
        <w:pStyle w:val="TextBody"/>
        <w:bidi w:val="0"/>
        <w:spacing w:before="240" w:after="0"/>
        <w:jc w:val="left"/>
        <w:rPr>
          <w:rFonts w:ascii="Times New Roman" w:hAnsi="Times New Roman"/>
          <w:sz w:val="20"/>
        </w:rPr>
      </w:pPr>
      <w:r>
        <w:rPr>
          <w:rFonts w:ascii="Times New Roman" w:hAnsi="Times New Roman"/>
          <w:sz w:val="20"/>
        </w:rPr>
        <w:t>We hereby attach the Notice of the Annual General Meeting (the “</w:t>
      </w:r>
      <w:r>
        <w:rPr>
          <w:rFonts w:ascii="Times New Roman" w:hAnsi="Times New Roman"/>
          <w:b/>
          <w:sz w:val="20"/>
        </w:rPr>
        <w:t>Attachment</w:t>
      </w:r>
      <w:r>
        <w:rPr>
          <w:rFonts w:ascii="Times New Roman" w:hAnsi="Times New Roman"/>
          <w:sz w:val="20"/>
        </w:rPr>
        <w:t xml:space="preserve">”), which serves as the notice required under Rule 13.71 and the circular required under Rule 13.73 of the Hong Kong Listing Rules. No resolutions have been proposed for consideration at the General Meeting as at the date of this notice. </w:t>
      </w:r>
    </w:p>
    <w:p>
      <w:pPr>
        <w:pStyle w:val="TextBody"/>
        <w:bidi w:val="0"/>
        <w:spacing w:before="240" w:after="0"/>
        <w:jc w:val="left"/>
        <w:rPr>
          <w:rFonts w:ascii="Times New Roman" w:hAnsi="Times New Roman"/>
          <w:sz w:val="20"/>
        </w:rPr>
      </w:pPr>
      <w:r>
        <w:rPr>
          <w:rFonts w:ascii="Times New Roman" w:hAnsi="Times New Roman"/>
          <w:sz w:val="20"/>
        </w:rPr>
        <w:t>The Company refers to the copy of its annual report for the fiscal year ended May 31, 2026 (the “</w:t>
      </w:r>
      <w:r>
        <w:rPr>
          <w:rFonts w:ascii="Times New Roman" w:hAnsi="Times New Roman"/>
          <w:b/>
          <w:sz w:val="20"/>
        </w:rPr>
        <w:t>Annual Report</w:t>
      </w:r>
      <w:r>
        <w:rPr>
          <w:rFonts w:ascii="Times New Roman" w:hAnsi="Times New Roman"/>
          <w:sz w:val="20"/>
        </w:rPr>
        <w:t xml:space="preserve">”), which was published on the Hong Kong Stock Exchange’s website on September 22, 2026. </w:t>
      </w:r>
    </w:p>
    <w:p>
      <w:pPr>
        <w:pStyle w:val="TextBody"/>
        <w:bidi w:val="0"/>
        <w:spacing w:before="240" w:after="0"/>
        <w:jc w:val="left"/>
        <w:rPr>
          <w:rFonts w:ascii="Times New Roman" w:hAnsi="Times New Roman"/>
          <w:sz w:val="20"/>
        </w:rPr>
      </w:pPr>
      <w:r>
        <w:rPr>
          <w:rFonts w:ascii="Times New Roman" w:hAnsi="Times New Roman"/>
          <w:sz w:val="20"/>
        </w:rPr>
        <w:t xml:space="preserve">You may obtain an electronic copy of this notice, the Attachment, and the Annual Report, free of charge, from the Company’s website at </w:t>
      </w:r>
      <w:r>
        <w:rPr>
          <w:rFonts w:ascii="Times New Roman" w:hAnsi="Times New Roman"/>
          <w:b/>
          <w:sz w:val="20"/>
          <w:u w:val="single"/>
        </w:rPr>
        <w:t>http://investor.neworiental.org</w:t>
      </w:r>
      <w:r>
        <w:rPr>
          <w:rFonts w:ascii="Times New Roman" w:hAnsi="Times New Roman"/>
          <w:sz w:val="20"/>
        </w:rPr>
        <w:t xml:space="preserve">, the Hong Kong Stock Exchange’s website at </w:t>
      </w:r>
      <w:r>
        <w:rPr>
          <w:rFonts w:ascii="Times New Roman" w:hAnsi="Times New Roman"/>
          <w:b/>
          <w:sz w:val="20"/>
          <w:u w:val="single"/>
        </w:rPr>
        <w:t>www.hkexnews.hk</w:t>
      </w:r>
      <w:r>
        <w:rPr>
          <w:rFonts w:ascii="Times New Roman" w:hAnsi="Times New Roman"/>
          <w:sz w:val="20"/>
        </w:rPr>
        <w:t xml:space="preserve">. The full text of the Form 20-F referred to in the Annual Report is also available for download, free of charge, on the U.S. Securities and Exchange Commission’s website at </w:t>
      </w:r>
      <w:r>
        <w:rPr>
          <w:rFonts w:ascii="Times New Roman" w:hAnsi="Times New Roman"/>
          <w:b/>
          <w:sz w:val="20"/>
          <w:u w:val="single"/>
        </w:rPr>
        <w:t>www.sec.gov</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Record Date for Annual General Meeting </w:t>
      </w:r>
    </w:p>
    <w:p>
      <w:pPr>
        <w:pStyle w:val="TextBody"/>
        <w:bidi w:val="0"/>
        <w:spacing w:before="120" w:after="0"/>
        <w:jc w:val="left"/>
        <w:rPr>
          <w:rFonts w:ascii="Times New Roman" w:hAnsi="Times New Roman"/>
          <w:sz w:val="20"/>
        </w:rPr>
      </w:pPr>
      <w:r>
        <w:rPr>
          <w:rFonts w:ascii="Times New Roman" w:hAnsi="Times New Roman"/>
          <w:sz w:val="20"/>
        </w:rPr>
        <w:t>Please note that the record date for determining the eligibility of the holders of our common shares with a par value of US$0.001 each (the “</w:t>
      </w:r>
      <w:r>
        <w:rPr>
          <w:rFonts w:ascii="Times New Roman" w:hAnsi="Times New Roman"/>
          <w:b/>
          <w:sz w:val="20"/>
        </w:rPr>
        <w:t>Common Shares</w:t>
      </w:r>
      <w:r>
        <w:rPr>
          <w:rFonts w:ascii="Times New Roman" w:hAnsi="Times New Roman"/>
          <w:sz w:val="20"/>
        </w:rPr>
        <w:t>”), to attend our General Meeting will be as of close of business on Friday, October 23, 2026 (Hong Kong time) (the “</w:t>
      </w:r>
      <w:r>
        <w:rPr>
          <w:rFonts w:ascii="Times New Roman" w:hAnsi="Times New Roman"/>
          <w:b/>
          <w:sz w:val="20"/>
        </w:rPr>
        <w:t>Common Shares Record Date</w:t>
      </w:r>
      <w:r>
        <w:rPr>
          <w:rFonts w:ascii="Times New Roman" w:hAnsi="Times New Roman"/>
          <w:sz w:val="20"/>
        </w:rPr>
        <w:t xml:space="preserve">”). In order to be eligible to attend the General Meeting, all valid documents for the transfers of shares accompanied by the relevant share certificates must be lodged with the Company’s Hong Kong branch share registrar and transfer office, Computershare Hong Kong Investor Services Limited, Shops 1712–1716, 17th Floor, Hopewell Centre, 183 Queen’s Road East, Wan Chai, Hong Kong, no later than 4:30 p.m. on Friday, October 23, 2026 (Hong Kong time). All persons who are registered holders of the Common Shares on the Common Shares Record Date will be entitled to attend the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Holders of American depositary shares issued by Deutsche Bank Trust Company Americas, as depositary of the ADSs, and representing our Common Shares, may attend the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Details including the date and location of our General Meeting will be set out in our notice of General Meeting to be issued in due course.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center"/>
              <w:rPr/>
            </w:pPr>
            <w:r>
              <w:rPr/>
              <w:t>By order of the Board</w:t>
            </w:r>
          </w:p>
        </w:tc>
      </w:tr>
      <w:tr>
        <w:trPr/>
        <w:tc>
          <w:tcPr>
            <w:tcW w:w="4082" w:type="dxa"/>
            <w:tcBorders/>
          </w:tcPr>
          <w:p>
            <w:pPr>
              <w:pStyle w:val="TableContents"/>
              <w:bidi w:val="0"/>
              <w:spacing w:before="0" w:after="283"/>
              <w:jc w:val="center"/>
              <w:rPr>
                <w:b/>
              </w:rPr>
            </w:pPr>
            <w:r>
              <w:rPr>
                <w:b/>
              </w:rPr>
              <w:t>New Oriental Education &amp; Technology Group Inc.</w:t>
            </w:r>
          </w:p>
        </w:tc>
      </w:tr>
      <w:tr>
        <w:trPr/>
        <w:tc>
          <w:tcPr>
            <w:tcW w:w="4082" w:type="dxa"/>
            <w:tcBorders/>
          </w:tcPr>
          <w:p>
            <w:pPr>
              <w:pStyle w:val="TableContents"/>
              <w:bidi w:val="0"/>
              <w:spacing w:before="0" w:after="283"/>
              <w:jc w:val="center"/>
              <w:rPr>
                <w:b/>
              </w:rPr>
            </w:pPr>
            <w:r>
              <w:rPr>
                <w:b/>
              </w:rPr>
              <w:t>Mr. Michael Minhong Yu</w:t>
            </w:r>
          </w:p>
        </w:tc>
      </w:tr>
      <w:tr>
        <w:trPr/>
        <w:tc>
          <w:tcPr>
            <w:tcW w:w="4082" w:type="dxa"/>
            <w:tcBorders/>
          </w:tcPr>
          <w:p>
            <w:pPr>
              <w:pStyle w:val="TableContents"/>
              <w:bidi w:val="0"/>
              <w:spacing w:before="0" w:after="283"/>
              <w:jc w:val="center"/>
              <w:rPr>
                <w:i/>
              </w:rPr>
            </w:pPr>
            <w:r>
              <w:rPr>
                <w:i/>
              </w:rPr>
              <w:t>Chairman</w:t>
            </w:r>
          </w:p>
        </w:tc>
      </w:tr>
    </w:tbl>
    <w:p>
      <w:pPr>
        <w:pStyle w:val="TextBody"/>
        <w:bidi w:val="0"/>
        <w:spacing w:before="240" w:after="0"/>
        <w:jc w:val="left"/>
        <w:rPr>
          <w:rFonts w:ascii="Times New Roman" w:hAnsi="Times New Roman"/>
          <w:sz w:val="20"/>
        </w:rPr>
      </w:pPr>
      <w:r>
        <w:rPr>
          <w:rFonts w:ascii="Times New Roman" w:hAnsi="Times New Roman"/>
          <w:sz w:val="20"/>
        </w:rPr>
        <w:t xml:space="preserve">Beijing, China, October 8, 2026 </w:t>
      </w:r>
    </w:p>
    <w:p>
      <w:pPr>
        <w:pStyle w:val="TextBody"/>
        <w:bidi w:val="0"/>
        <w:spacing w:before="240" w:after="0"/>
        <w:jc w:val="left"/>
        <w:rPr>
          <w:rFonts w:ascii="Times New Roman" w:hAnsi="Times New Roman"/>
          <w:i/>
          <w:sz w:val="20"/>
        </w:rPr>
      </w:pPr>
      <w:r>
        <w:rPr>
          <w:rFonts w:ascii="Times New Roman" w:hAnsi="Times New Roman"/>
          <w:i/>
          <w:sz w:val="20"/>
        </w:rPr>
        <w:t xml:space="preserve">As at the date of this announcement, the board of directors of the Company comprises Mr. Michael Minhong Yu, Mr. Chenggang Zhou and Mr. Louis T. Hsieh as directors and Mr. Robin Yanhong Li, Mr. Denny Lee and Dr. Yue Zhuge as independent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i/>
              </w:rPr>
            </w:pPr>
            <w:r>
              <w:rPr>
                <w:i/>
              </w:rPr>
              <w:t>*</w:t>
            </w:r>
          </w:p>
        </w:tc>
        <w:tc>
          <w:tcPr>
            <w:tcW w:w="10003"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for identification purposes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(incorporated in the Cayman Islands with limited liability) </w:t>
      </w:r>
    </w:p>
    <w:p>
      <w:pPr>
        <w:pStyle w:val="TextBody"/>
        <w:bidi w:val="0"/>
        <w:spacing w:before="0" w:after="0"/>
        <w:jc w:val="center"/>
        <w:rPr>
          <w:rFonts w:ascii="Times New Roman" w:hAnsi="Times New Roman"/>
          <w:b/>
          <w:sz w:val="20"/>
        </w:rPr>
      </w:pPr>
      <w:r>
        <w:rPr>
          <w:rFonts w:ascii="Times New Roman" w:hAnsi="Times New Roman"/>
          <w:b/>
          <w:sz w:val="20"/>
        </w:rPr>
        <w:t xml:space="preserve">(NYSE: EDU and SEHK: 9901)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ANNUAL GENERAL MEETING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on November 13, 2026 </w:t>
      </w:r>
    </w:p>
    <w:p>
      <w:pPr>
        <w:pStyle w:val="TextBody"/>
        <w:bidi w:val="0"/>
        <w:spacing w:before="0" w:after="0"/>
        <w:jc w:val="center"/>
        <w:rPr>
          <w:rFonts w:ascii="Times New Roman" w:hAnsi="Times New Roman"/>
          <w:sz w:val="20"/>
        </w:rPr>
      </w:pPr>
      <w:r>
        <w:rPr>
          <w:rFonts w:ascii="Times New Roman" w:hAnsi="Times New Roman"/>
          <w:sz w:val="20"/>
        </w:rPr>
        <w:t xml:space="preserve">(or any adjourned or postponed meeting thereof) </w:t>
      </w:r>
    </w:p>
    <w:p>
      <w:pPr>
        <w:pStyle w:val="TextBody"/>
        <w:bidi w:val="0"/>
        <w:spacing w:before="240" w:after="0"/>
        <w:jc w:val="left"/>
        <w:rPr>
          <w:rFonts w:ascii="Times New Roman" w:hAnsi="Times New Roman"/>
          <w:sz w:val="20"/>
        </w:rPr>
      </w:pPr>
      <w:r>
        <w:rPr>
          <w:rFonts w:ascii="Times New Roman" w:hAnsi="Times New Roman"/>
          <w:b/>
          <w:sz w:val="20"/>
        </w:rPr>
        <w:t xml:space="preserve">NOTICE IS HEREBY GIVEN </w:t>
      </w:r>
      <w:r>
        <w:rPr>
          <w:rFonts w:ascii="Times New Roman" w:hAnsi="Times New Roman"/>
          <w:sz w:val="20"/>
        </w:rPr>
        <w:t>that an annual general meeting (the “</w:t>
      </w:r>
      <w:r>
        <w:rPr>
          <w:rFonts w:ascii="Times New Roman" w:hAnsi="Times New Roman"/>
          <w:b/>
          <w:sz w:val="20"/>
        </w:rPr>
        <w:t>AGM</w:t>
      </w:r>
      <w:r>
        <w:rPr>
          <w:rFonts w:ascii="Times New Roman" w:hAnsi="Times New Roman"/>
          <w:sz w:val="20"/>
        </w:rPr>
        <w:t>”) of New Oriental Education &amp; Technology Group Inc. (the “</w:t>
      </w:r>
      <w:r>
        <w:rPr>
          <w:rFonts w:ascii="Times New Roman" w:hAnsi="Times New Roman"/>
          <w:b/>
          <w:sz w:val="20"/>
        </w:rPr>
        <w:t>Company</w:t>
      </w:r>
      <w:r>
        <w:rPr>
          <w:rFonts w:ascii="Times New Roman" w:hAnsi="Times New Roman"/>
          <w:sz w:val="20"/>
        </w:rPr>
        <w:t>”) will be held at No. 6 Hai Dian Zhong Street, Haidian District, Beijing, People’s Republic of China, on November 13, 2026 at 5:00 p.m. (local time). No proposal will be submitted for shareholder approval at the AGM. Instead, the AGM will serve as an open forum for shareholders of record and beneficial owners of the Company’s American Depositary Shares (“</w:t>
      </w:r>
      <w:r>
        <w:rPr>
          <w:rFonts w:ascii="Times New Roman" w:hAnsi="Times New Roman"/>
          <w:b/>
          <w:sz w:val="20"/>
        </w:rPr>
        <w:t>ADSs</w:t>
      </w:r>
      <w:r>
        <w:rPr>
          <w:rFonts w:ascii="Times New Roman" w:hAnsi="Times New Roman"/>
          <w:sz w:val="20"/>
        </w:rPr>
        <w:t xml:space="preserve">”) to discuss Company affairs with management. </w:t>
      </w:r>
    </w:p>
    <w:p>
      <w:pPr>
        <w:pStyle w:val="TextBody"/>
        <w:bidi w:val="0"/>
        <w:spacing w:before="240" w:after="0"/>
        <w:jc w:val="left"/>
        <w:rPr>
          <w:rFonts w:ascii="Times New Roman" w:hAnsi="Times New Roman"/>
          <w:sz w:val="20"/>
        </w:rPr>
      </w:pPr>
      <w:r>
        <w:rPr>
          <w:rFonts w:ascii="Times New Roman" w:hAnsi="Times New Roman"/>
          <w:sz w:val="20"/>
        </w:rPr>
        <w:t>The board of directors of the Company has fixed the close of business on October 23, 2026 (local time) as the record date (the “</w:t>
      </w:r>
      <w:r>
        <w:rPr>
          <w:rFonts w:ascii="Times New Roman" w:hAnsi="Times New Roman"/>
          <w:b/>
          <w:sz w:val="20"/>
        </w:rPr>
        <w:t>Record Date</w:t>
      </w:r>
      <w:r>
        <w:rPr>
          <w:rFonts w:ascii="Times New Roman" w:hAnsi="Times New Roman"/>
          <w:sz w:val="20"/>
        </w:rPr>
        <w:t xml:space="preserve">”) for determining the shareholders entitled to receive notice of the AGM or any adjournment or postponement thereof. </w:t>
      </w:r>
    </w:p>
    <w:p>
      <w:pPr>
        <w:pStyle w:val="TextBody"/>
        <w:bidi w:val="0"/>
        <w:spacing w:before="240" w:after="0"/>
        <w:jc w:val="left"/>
        <w:rPr>
          <w:rFonts w:ascii="Times New Roman" w:hAnsi="Times New Roman"/>
          <w:sz w:val="20"/>
        </w:rPr>
      </w:pPr>
      <w:r>
        <w:rPr>
          <w:rFonts w:ascii="Times New Roman" w:hAnsi="Times New Roman"/>
          <w:sz w:val="20"/>
        </w:rPr>
        <w:t xml:space="preserve">Holders of record of the Company’s common shares at the close of business on the Record Date are entitled to attend the AGM and any adjournment or postponement thereof in person. Beneficial owners of the Company’s ADSs are welcome to attend the AGM in person. </w:t>
      </w:r>
    </w:p>
    <w:p>
      <w:pPr>
        <w:pStyle w:val="TextBody"/>
        <w:bidi w:val="0"/>
        <w:spacing w:before="240" w:after="0"/>
        <w:jc w:val="left"/>
        <w:rPr>
          <w:rFonts w:ascii="Times New Roman" w:hAnsi="Times New Roman"/>
          <w:sz w:val="20"/>
        </w:rPr>
      </w:pPr>
      <w:r>
        <w:rPr>
          <w:rFonts w:ascii="Times New Roman" w:hAnsi="Times New Roman"/>
          <w:sz w:val="20"/>
        </w:rPr>
        <w:t xml:space="preserve">Shareholders and ADS holders may obtain a copy of the Company’s annual report on Form 20-F and/ or Hong Kong annual report, free of charge, from the Company’s website at investor.neworiental.org, from SEC’s website at www.sec.gov (for the annual report on Form 20-F) or the website of The Stock Exchange of Hong Kong Limited at www.hkexnews.hk (for the Hong Kong annual report).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By Order of the Board of Directors,</w:t>
            </w:r>
          </w:p>
        </w:tc>
      </w:tr>
      <w:tr>
        <w:trPr/>
        <w:tc>
          <w:tcPr>
            <w:tcW w:w="4082" w:type="dxa"/>
            <w:tcBorders/>
          </w:tcPr>
          <w:p>
            <w:pPr>
              <w:pStyle w:val="TableContents"/>
              <w:bidi w:val="0"/>
              <w:spacing w:before="0" w:after="283"/>
              <w:jc w:val="left"/>
              <w:rPr>
                <w:b/>
              </w:rPr>
            </w:pPr>
            <w:r>
              <w:rPr>
                <w:b/>
              </w:rPr>
              <w:t>New Oriental Education &amp; Technology Group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 xml:space="preserve">/s/ </w:t>
            </w:r>
            <w:r>
              <w:rPr>
                <w:rFonts w:ascii="Times New Roman" w:hAnsi="Times New Roman"/>
                <w:b/>
                <w:sz w:val="20"/>
              </w:rPr>
              <w:t>Michael Minhong Yu</w:t>
            </w:r>
          </w:p>
        </w:tc>
      </w:tr>
      <w:tr>
        <w:trPr/>
        <w:tc>
          <w:tcPr>
            <w:tcW w:w="4082" w:type="dxa"/>
            <w:tcBorders/>
          </w:tcPr>
          <w:p>
            <w:pPr>
              <w:pStyle w:val="TableContents"/>
              <w:bidi w:val="0"/>
              <w:spacing w:before="0" w:after="283"/>
              <w:jc w:val="left"/>
              <w:rPr>
                <w:b/>
              </w:rPr>
            </w:pPr>
            <w:r>
              <w:rPr>
                <w:b/>
              </w:rPr>
              <w:t>Michael Minhong Yu</w:t>
            </w:r>
          </w:p>
        </w:tc>
      </w:tr>
      <w:tr>
        <w:trPr/>
        <w:tc>
          <w:tcPr>
            <w:tcW w:w="4082" w:type="dxa"/>
            <w:tcBorders/>
          </w:tcPr>
          <w:p>
            <w:pPr>
              <w:pStyle w:val="TableContents"/>
              <w:bidi w:val="0"/>
              <w:spacing w:before="0" w:after="283"/>
              <w:jc w:val="left"/>
              <w:rPr/>
            </w:pPr>
            <w:r>
              <w:rPr/>
              <w:t>Executive Chairman</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78"/>
        <w:gridCol w:w="121"/>
        <w:gridCol w:w="4906"/>
      </w:tblGrid>
      <w:tr>
        <w:trPr/>
        <w:tc>
          <w:tcPr>
            <w:tcW w:w="517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06" w:type="dxa"/>
            <w:tcBorders/>
            <w:vAlign w:val="center"/>
          </w:tcPr>
          <w:p>
            <w:pPr>
              <w:pStyle w:val="TableContents"/>
              <w:bidi w:val="0"/>
              <w:spacing w:before="0" w:after="283"/>
              <w:jc w:val="left"/>
              <w:rPr>
                <w:sz w:val="4"/>
                <w:szCs w:val="4"/>
              </w:rPr>
            </w:pPr>
            <w:r>
              <w:rPr>
                <w:sz w:val="4"/>
                <w:szCs w:val="4"/>
              </w:rPr>
            </w:r>
          </w:p>
        </w:tc>
      </w:tr>
      <w:tr>
        <w:trPr/>
        <w:tc>
          <w:tcPr>
            <w:tcW w:w="5178" w:type="dxa"/>
            <w:tcBorders/>
          </w:tcPr>
          <w:p>
            <w:pPr>
              <w:pStyle w:val="TableContents"/>
              <w:bidi w:val="0"/>
              <w:spacing w:before="0" w:after="283"/>
              <w:jc w:val="left"/>
              <w:rPr>
                <w:i/>
              </w:rPr>
            </w:pPr>
            <w:r>
              <w:rPr>
                <w:i/>
              </w:rPr>
              <w:t>Executive Office:</w:t>
            </w:r>
          </w:p>
        </w:tc>
        <w:tc>
          <w:tcPr>
            <w:tcW w:w="121"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i/>
              </w:rPr>
            </w:pPr>
            <w:r>
              <w:rPr>
                <w:i/>
              </w:rPr>
              <w:t>Registered Office:</w:t>
            </w:r>
          </w:p>
        </w:tc>
      </w:tr>
      <w:tr>
        <w:trPr/>
        <w:tc>
          <w:tcPr>
            <w:tcW w:w="5178" w:type="dxa"/>
            <w:tcBorders/>
          </w:tcPr>
          <w:p>
            <w:pPr>
              <w:pStyle w:val="TableContents"/>
              <w:bidi w:val="0"/>
              <w:spacing w:before="0" w:after="283"/>
              <w:jc w:val="left"/>
              <w:rPr/>
            </w:pPr>
            <w:r>
              <w:rPr/>
              <w:t>No. 6 Hai Dian Zhong Street</w:t>
            </w:r>
          </w:p>
        </w:tc>
        <w:tc>
          <w:tcPr>
            <w:tcW w:w="121"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Conyers Trust Company (Cayman) Limited,</w:t>
            </w:r>
          </w:p>
        </w:tc>
      </w:tr>
      <w:tr>
        <w:trPr/>
        <w:tc>
          <w:tcPr>
            <w:tcW w:w="5178" w:type="dxa"/>
            <w:tcBorders/>
          </w:tcPr>
          <w:p>
            <w:pPr>
              <w:pStyle w:val="TableContents"/>
              <w:bidi w:val="0"/>
              <w:spacing w:before="0" w:after="283"/>
              <w:jc w:val="left"/>
              <w:rPr/>
            </w:pPr>
            <w:r>
              <w:rPr/>
              <w:t>Haidian District, Beijing</w:t>
            </w:r>
          </w:p>
        </w:tc>
        <w:tc>
          <w:tcPr>
            <w:tcW w:w="121"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Cricket Square, Hutchins Drive, P.O. Box 2681,</w:t>
            </w:r>
          </w:p>
        </w:tc>
      </w:tr>
      <w:tr>
        <w:trPr/>
        <w:tc>
          <w:tcPr>
            <w:tcW w:w="5178" w:type="dxa"/>
            <w:tcBorders/>
          </w:tcPr>
          <w:p>
            <w:pPr>
              <w:pStyle w:val="TableContents"/>
              <w:bidi w:val="0"/>
              <w:spacing w:before="0" w:after="283"/>
              <w:jc w:val="left"/>
              <w:rPr/>
            </w:pPr>
            <w:r>
              <w:rPr/>
              <w:t>People’s Republic of China</w:t>
            </w:r>
          </w:p>
        </w:tc>
        <w:tc>
          <w:tcPr>
            <w:tcW w:w="121"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left"/>
              <w:rPr/>
            </w:pPr>
            <w:r>
              <w:rPr/>
              <w:t>Grand Cayman KY1-1111, Cayman Islands</w:t>
            </w:r>
          </w:p>
        </w:tc>
      </w:tr>
    </w:tbl>
    <w:p>
      <w:pPr>
        <w:pStyle w:val="TextBody"/>
        <w:bidi w:val="0"/>
        <w:spacing w:before="240" w:after="0"/>
        <w:jc w:val="left"/>
        <w:rPr>
          <w:rFonts w:ascii="Times New Roman" w:hAnsi="Times New Roman"/>
          <w:sz w:val="20"/>
        </w:rPr>
      </w:pPr>
      <w:r>
        <w:rPr>
          <w:rFonts w:ascii="Times New Roman" w:hAnsi="Times New Roman"/>
          <w:sz w:val="20"/>
        </w:rPr>
        <w:t xml:space="preserve">Beijing, China </w:t>
      </w:r>
    </w:p>
    <w:p>
      <w:pPr>
        <w:pStyle w:val="TextBody"/>
        <w:bidi w:val="0"/>
        <w:spacing w:before="0" w:after="0"/>
        <w:jc w:val="left"/>
        <w:rPr>
          <w:rFonts w:ascii="Times New Roman" w:hAnsi="Times New Roman"/>
          <w:sz w:val="20"/>
        </w:rPr>
      </w:pPr>
      <w:r>
        <w:rPr>
          <w:rFonts w:ascii="Times New Roman" w:hAnsi="Times New Roman"/>
          <w:sz w:val="20"/>
        </w:rPr>
        <w:t xml:space="preserve">October 8,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1150</Words>
  <Characters>5987</Characters>
  <CharactersWithSpaces>7164</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