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New Oriental Education &amp; Technology Group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001-32993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NO. 6 HAI DIAN ZHONG STREET, 9TH FLOOR</w:t>
              <w:br/>
              <w:t>BEIJING</w:t>
              <w:br/>
              <w:t xml:space="preserve">CHINA </w:t>
              <w:br/>
              <w:t>100080</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(86-10) 6260-5566</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Zhou Chenggang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7"/>
        <w:gridCol w:w="1383"/>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ADS (each ADS represents 10 common shares)</w:t>
            </w:r>
          </w:p>
        </w:tc>
        <w:tc>
          <w:tcPr>
            <w:tcW w:w="1487" w:type="dxa"/>
            <w:tcBorders/>
            <w:vAlign w:val="center"/>
          </w:tcPr>
          <w:p>
            <w:pPr>
              <w:pStyle w:val="TableContents"/>
              <w:bidi w:val="0"/>
              <w:spacing w:before="0" w:after="0"/>
              <w:jc w:val="left"/>
              <w:rPr/>
            </w:pPr>
            <w:r>
              <w:rPr/>
              <w:t>The Core Securities Co., Ltd.</w:t>
              <w:br/>
              <w:t>Suite C, 20/F., SCB Building</w:t>
              <w:br/>
              <w:t>4-4A Des Voeux Road</w:t>
              <w:br/>
              <w:t>Central   K3   999077</w:t>
            </w:r>
          </w:p>
        </w:tc>
        <w:tc>
          <w:tcPr>
            <w:tcW w:w="1170" w:type="dxa"/>
            <w:tcBorders/>
            <w:vAlign w:val="center"/>
          </w:tcPr>
          <w:p>
            <w:pPr>
              <w:pStyle w:val="TableContents"/>
              <w:bidi w:val="0"/>
              <w:spacing w:before="0" w:after="283"/>
              <w:jc w:val="left"/>
              <w:rPr/>
            </w:pPr>
            <w:r>
              <w:rPr/>
              <w:t>70000</w:t>
            </w:r>
          </w:p>
        </w:tc>
        <w:tc>
          <w:tcPr>
            <w:tcW w:w="1463" w:type="dxa"/>
            <w:tcBorders/>
            <w:vAlign w:val="center"/>
          </w:tcPr>
          <w:p>
            <w:pPr>
              <w:pStyle w:val="TableContents"/>
              <w:bidi w:val="0"/>
              <w:spacing w:before="0" w:after="283"/>
              <w:jc w:val="left"/>
              <w:rPr/>
            </w:pPr>
            <w:r>
              <w:rPr/>
              <w:t>3978100.00</w:t>
            </w:r>
          </w:p>
        </w:tc>
        <w:tc>
          <w:tcPr>
            <w:tcW w:w="1553" w:type="dxa"/>
            <w:tcBorders/>
            <w:vAlign w:val="center"/>
          </w:tcPr>
          <w:p>
            <w:pPr>
              <w:pStyle w:val="TableContents"/>
              <w:bidi w:val="0"/>
              <w:spacing w:before="0" w:after="283"/>
              <w:jc w:val="left"/>
              <w:rPr/>
            </w:pPr>
            <w:r>
              <w:rPr/>
              <w:t>1591457473</w:t>
            </w:r>
          </w:p>
        </w:tc>
        <w:tc>
          <w:tcPr>
            <w:tcW w:w="1567"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69" w:type="dxa"/>
        <w:jc w:val="left"/>
        <w:tblInd w:w="0" w:type="dxa"/>
        <w:tblLayout w:type="fixed"/>
        <w:tblCellMar>
          <w:top w:w="28" w:type="dxa"/>
          <w:left w:w="28" w:type="dxa"/>
          <w:bottom w:w="28" w:type="dxa"/>
          <w:right w:w="28" w:type="dxa"/>
        </w:tblCellMar>
      </w:tblPr>
      <w:tblGrid>
        <w:gridCol w:w="1561"/>
        <w:gridCol w:w="1066"/>
        <w:gridCol w:w="1336"/>
        <w:gridCol w:w="1606"/>
        <w:gridCol w:w="496"/>
        <w:gridCol w:w="1066"/>
        <w:gridCol w:w="1081"/>
        <w:gridCol w:w="1006"/>
        <w:gridCol w:w="1051"/>
      </w:tblGrid>
      <w:tr>
        <w:trPr/>
        <w:tc>
          <w:tcPr>
            <w:tcW w:w="1561"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6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561" w:type="dxa"/>
            <w:tcBorders/>
            <w:vAlign w:val="center"/>
          </w:tcPr>
          <w:p>
            <w:pPr>
              <w:pStyle w:val="TableContents"/>
              <w:bidi w:val="0"/>
              <w:spacing w:before="0" w:after="283"/>
              <w:jc w:val="left"/>
              <w:rPr/>
            </w:pPr>
            <w:r>
              <w:rPr/>
              <w:t>ADS (each ADSrepresents 10common shares)</w:t>
            </w:r>
          </w:p>
        </w:tc>
        <w:tc>
          <w:tcPr>
            <w:tcW w:w="1066" w:type="dxa"/>
            <w:tcBorders/>
            <w:vAlign w:val="center"/>
          </w:tcPr>
          <w:p>
            <w:pPr>
              <w:pStyle w:val="TableContents"/>
              <w:bidi w:val="0"/>
              <w:spacing w:before="0" w:after="283"/>
              <w:jc w:val="left"/>
              <w:rPr/>
            </w:pPr>
            <w:r>
              <w:rPr/>
              <w:t>06/30/2025</w:t>
            </w:r>
          </w:p>
        </w:tc>
        <w:tc>
          <w:tcPr>
            <w:tcW w:w="1336" w:type="dxa"/>
            <w:tcBorders/>
            <w:vAlign w:val="center"/>
          </w:tcPr>
          <w:p>
            <w:pPr>
              <w:pStyle w:val="TableContents"/>
              <w:bidi w:val="0"/>
              <w:spacing w:before="0" w:after="283"/>
              <w:jc w:val="left"/>
              <w:rPr/>
            </w:pPr>
            <w:r>
              <w:rPr/>
              <w:t>Employee Stock Option Exercise</w:t>
            </w:r>
          </w:p>
        </w:tc>
        <w:tc>
          <w:tcPr>
            <w:tcW w:w="1606" w:type="dxa"/>
            <w:tcBorders/>
            <w:vAlign w:val="center"/>
          </w:tcPr>
          <w:p>
            <w:pPr>
              <w:pStyle w:val="TableContents"/>
              <w:bidi w:val="0"/>
              <w:spacing w:before="0" w:after="283"/>
              <w:jc w:val="left"/>
              <w:rPr/>
            </w:pPr>
            <w:r>
              <w:rPr/>
              <w:t>New Oriental Education &amp; Techonology Group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40071</w:t>
            </w:r>
          </w:p>
        </w:tc>
        <w:tc>
          <w:tcPr>
            <w:tcW w:w="1006" w:type="dxa"/>
            <w:tcBorders/>
            <w:vAlign w:val="center"/>
          </w:tcPr>
          <w:p>
            <w:pPr>
              <w:pStyle w:val="TableContents"/>
              <w:bidi w:val="0"/>
              <w:spacing w:before="0" w:after="283"/>
              <w:jc w:val="left"/>
              <w:rPr/>
            </w:pPr>
            <w:r>
              <w:rPr/>
              <w:t>06/30/2025</w:t>
            </w:r>
          </w:p>
        </w:tc>
        <w:tc>
          <w:tcPr>
            <w:tcW w:w="1051" w:type="dxa"/>
            <w:tcBorders/>
            <w:vAlign w:val="center"/>
          </w:tcPr>
          <w:p>
            <w:pPr>
              <w:pStyle w:val="TableContents"/>
              <w:bidi w:val="0"/>
              <w:spacing w:before="0" w:after="283"/>
              <w:jc w:val="left"/>
              <w:rPr/>
            </w:pPr>
            <w:r>
              <w:rPr/>
              <w:t>RSU VEST</w:t>
            </w:r>
          </w:p>
        </w:tc>
      </w:tr>
      <w:tr>
        <w:trPr/>
        <w:tc>
          <w:tcPr>
            <w:tcW w:w="1561" w:type="dxa"/>
            <w:tcBorders/>
            <w:vAlign w:val="center"/>
          </w:tcPr>
          <w:p>
            <w:pPr>
              <w:pStyle w:val="TableContents"/>
              <w:bidi w:val="0"/>
              <w:spacing w:before="0" w:after="283"/>
              <w:jc w:val="left"/>
              <w:rPr/>
            </w:pPr>
            <w:r>
              <w:rPr/>
              <w:t>ADS (each ADSrepresents 10common shares)</w:t>
            </w:r>
          </w:p>
        </w:tc>
        <w:tc>
          <w:tcPr>
            <w:tcW w:w="1066" w:type="dxa"/>
            <w:tcBorders/>
            <w:vAlign w:val="center"/>
          </w:tcPr>
          <w:p>
            <w:pPr>
              <w:pStyle w:val="TableContents"/>
              <w:bidi w:val="0"/>
              <w:spacing w:before="0" w:after="283"/>
              <w:jc w:val="left"/>
              <w:rPr/>
            </w:pPr>
            <w:r>
              <w:rPr/>
              <w:t>07/15/2026</w:t>
            </w:r>
          </w:p>
        </w:tc>
        <w:tc>
          <w:tcPr>
            <w:tcW w:w="1336" w:type="dxa"/>
            <w:tcBorders/>
            <w:vAlign w:val="center"/>
          </w:tcPr>
          <w:p>
            <w:pPr>
              <w:pStyle w:val="TableContents"/>
              <w:bidi w:val="0"/>
              <w:spacing w:before="0" w:after="283"/>
              <w:jc w:val="left"/>
              <w:rPr/>
            </w:pPr>
            <w:r>
              <w:rPr/>
              <w:t>Employee Stock Option Exercise</w:t>
            </w:r>
          </w:p>
        </w:tc>
        <w:tc>
          <w:tcPr>
            <w:tcW w:w="1606" w:type="dxa"/>
            <w:tcBorders/>
            <w:vAlign w:val="center"/>
          </w:tcPr>
          <w:p>
            <w:pPr>
              <w:pStyle w:val="TableContents"/>
              <w:bidi w:val="0"/>
              <w:spacing w:before="0" w:after="283"/>
              <w:jc w:val="left"/>
              <w:rPr/>
            </w:pPr>
            <w:r>
              <w:rPr/>
              <w:t>New Oriental Education &amp; Techonology Group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39499</w:t>
            </w:r>
          </w:p>
        </w:tc>
        <w:tc>
          <w:tcPr>
            <w:tcW w:w="1006" w:type="dxa"/>
            <w:tcBorders/>
            <w:vAlign w:val="center"/>
          </w:tcPr>
          <w:p>
            <w:pPr>
              <w:pStyle w:val="TableContents"/>
              <w:bidi w:val="0"/>
              <w:spacing w:before="0" w:after="283"/>
              <w:jc w:val="left"/>
              <w:rPr/>
            </w:pPr>
            <w:r>
              <w:rPr/>
              <w:t>07/15/2026</w:t>
            </w:r>
          </w:p>
        </w:tc>
        <w:tc>
          <w:tcPr>
            <w:tcW w:w="1051" w:type="dxa"/>
            <w:tcBorders/>
            <w:vAlign w:val="center"/>
          </w:tcPr>
          <w:p>
            <w:pPr>
              <w:pStyle w:val="TableContents"/>
              <w:bidi w:val="0"/>
              <w:spacing w:before="0" w:after="283"/>
              <w:jc w:val="left"/>
              <w:rPr/>
            </w:pPr>
            <w:r>
              <w:rPr/>
              <w:t>RSU VEST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89"/>
        <w:gridCol w:w="8816"/>
      </w:tblGrid>
      <w:tr>
        <w:trPr/>
        <w:tc>
          <w:tcPr>
            <w:tcW w:w="1389" w:type="dxa"/>
            <w:tcBorders/>
            <w:vAlign w:val="center"/>
          </w:tcPr>
          <w:p>
            <w:pPr>
              <w:pStyle w:val="TableContents"/>
              <w:bidi w:val="0"/>
              <w:spacing w:before="0" w:after="283"/>
              <w:jc w:val="left"/>
              <w:rPr/>
            </w:pPr>
            <w:r>
              <w:rPr/>
              <w:t>Remarks</w:t>
            </w:r>
          </w:p>
        </w:tc>
        <w:tc>
          <w:tcPr>
            <w:tcW w:w="8816" w:type="dxa"/>
            <w:tcBorders/>
            <w:vAlign w:val="center"/>
          </w:tcPr>
          <w:p>
            <w:pPr>
              <w:pStyle w:val="TableContents"/>
              <w:bidi w:val="0"/>
              <w:spacing w:before="0" w:after="0"/>
              <w:jc w:val="left"/>
              <w:rPr/>
            </w:pPr>
            <w:r>
              <w:rPr/>
              <w:t>Number of Shares or Other Units to Be Sold is 70,000 ADSs, and the ADSs are expected to be sold between 2026/8/7 and 2026/8/31. Number of shares or other Units Outstanding is 1,591,457,473 common shares as of Sept 15, 2025.</w:t>
            </w:r>
          </w:p>
        </w:tc>
      </w:tr>
      <w:tr>
        <w:trPr/>
        <w:tc>
          <w:tcPr>
            <w:tcW w:w="1389" w:type="dxa"/>
            <w:tcBorders/>
            <w:vAlign w:val="center"/>
          </w:tcPr>
          <w:p>
            <w:pPr>
              <w:pStyle w:val="TableContents"/>
              <w:bidi w:val="0"/>
              <w:spacing w:before="0" w:after="283"/>
              <w:jc w:val="left"/>
              <w:rPr/>
            </w:pPr>
            <w:r>
              <w:rPr/>
              <w:t>Date of Notice</w:t>
            </w:r>
          </w:p>
        </w:tc>
        <w:tc>
          <w:tcPr>
            <w:tcW w:w="8816"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9" w:type="dxa"/>
            <w:tcBorders/>
            <w:vAlign w:val="center"/>
          </w:tcPr>
          <w:p>
            <w:pPr>
              <w:pStyle w:val="TableContents"/>
              <w:bidi w:val="0"/>
              <w:spacing w:before="0" w:after="283"/>
              <w:jc w:val="left"/>
              <w:rPr/>
            </w:pPr>
            <w:r>
              <w:rPr/>
              <w:t>Signature</w:t>
            </w:r>
          </w:p>
        </w:tc>
        <w:tc>
          <w:tcPr>
            <w:tcW w:w="8816" w:type="dxa"/>
            <w:tcBorders/>
            <w:vAlign w:val="center"/>
          </w:tcPr>
          <w:p>
            <w:pPr>
              <w:pStyle w:val="TableContents"/>
              <w:bidi w:val="0"/>
              <w:spacing w:before="0" w:after="0"/>
              <w:jc w:val="left"/>
              <w:rPr/>
            </w:pPr>
            <w:r>
              <w:rPr/>
              <w:t>Zhou Chenggang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3356</Characters>
  <CharactersWithSpaces>3957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