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6592d6k.htm"/>
      <w:bookmarkStart w:id="1" w:name="ksd526592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NEW ORIENTAL EDUCATION &amp; TECHNOLOGY GROUP INC.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8676" w:type="dxa"/>
            <w:tcBorders/>
            <w:vAlign w:val="center"/>
          </w:tcPr>
          <w:p>
            <w:pPr>
              <w:pStyle w:val="TableContents"/>
              <w:bidi w:val="0"/>
              <w:spacing w:before="0" w:after="283"/>
              <w:jc w:val="left"/>
              <w:rPr>
                <w:sz w:val="4"/>
                <w:szCs w:val="4"/>
              </w:rPr>
            </w:pPr>
            <w:r>
              <w:rPr>
                <w:sz w:val="4"/>
                <w:szCs w:val="4"/>
              </w:rPr>
            </w:r>
          </w:p>
        </w:tc>
      </w:tr>
      <w:tr>
        <w:trPr/>
        <w:tc>
          <w:tcPr>
            <w:tcW w:w="1121" w:type="dxa"/>
            <w:tcBorders/>
          </w:tcPr>
          <w:p>
            <w:pPr>
              <w:pStyle w:val="TableContents"/>
              <w:bidi w:val="0"/>
              <w:spacing w:before="0" w:after="0"/>
              <w:jc w:val="left"/>
              <w:rPr>
                <w:rFonts w:ascii="Times New Roman" w:hAnsi="Times New Roman"/>
                <w:sz w:val="20"/>
              </w:rPr>
            </w:pPr>
            <w:r>
              <w:rPr>
                <w:rFonts w:ascii="Times New Roman" w:hAnsi="Times New Roman"/>
                <w:sz w:val="20"/>
              </w:rPr>
              <w:t>Exhibit 99.1 </w:t>
            </w:r>
          </w:p>
        </w:tc>
        <w:tc>
          <w:tcPr>
            <w:tcW w:w="408" w:type="dxa"/>
            <w:tcBorders/>
            <w:vAlign w:val="bottom"/>
          </w:tcPr>
          <w:p>
            <w:pPr>
              <w:pStyle w:val="TableContents"/>
              <w:bidi w:val="0"/>
              <w:spacing w:before="0" w:after="283"/>
              <w:jc w:val="left"/>
              <w:rPr/>
            </w:pPr>
            <w:r>
              <w:rPr/>
              <w:t>  </w:t>
            </w:r>
          </w:p>
        </w:tc>
        <w:tc>
          <w:tcPr>
            <w:tcW w:w="8676" w:type="dxa"/>
            <w:tcBorders/>
          </w:tcPr>
          <w:p>
            <w:pPr>
              <w:pStyle w:val="TableContents"/>
              <w:bidi w:val="0"/>
              <w:spacing w:before="0" w:after="283"/>
              <w:jc w:val="left"/>
              <w:rPr/>
            </w:pPr>
            <w:hyperlink w:anchor="d526592dex991.htm">
              <w:r>
                <w:rPr>
                  <w:rStyle w:val="InternetLink"/>
                </w:rPr>
                <w:t xml:space="preserve">Announcement  Date of Board Meeting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 Oriental Education &amp; Technology 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Stephen Zhihui Yang</w:t>
            </w:r>
          </w:p>
        </w:tc>
      </w:tr>
      <w:tr>
        <w:trPr/>
        <w:tc>
          <w:tcPr>
            <w:tcW w:w="4082" w:type="dxa"/>
            <w:gridSpan w:val="3"/>
            <w:tcBorders/>
          </w:tcPr>
          <w:p>
            <w:pPr>
              <w:pStyle w:val="TableContents"/>
              <w:bidi w:val="0"/>
              <w:spacing w:before="0" w:after="283"/>
              <w:jc w:val="left"/>
              <w:rPr/>
            </w:pPr>
            <w:r>
              <w:rPr/>
              <w:t>Name: Stephen Zhihui Yang</w:t>
            </w:r>
          </w:p>
        </w:tc>
      </w:tr>
      <w:tr>
        <w:trPr/>
        <w:tc>
          <w:tcPr>
            <w:tcW w:w="4082" w:type="dxa"/>
            <w:gridSpan w:val="3"/>
            <w:tcBorders/>
          </w:tcPr>
          <w:p>
            <w:pPr>
              <w:pStyle w:val="TableContents"/>
              <w:bidi w:val="0"/>
              <w:spacing w:before="0" w:after="283"/>
              <w:jc w:val="left"/>
              <w:rPr/>
            </w:pPr>
            <w:r>
              <w:rPr/>
              <w:t>Title: 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10, 2023 </w:t>
      </w:r>
    </w:p>
    <w:p>
      <w:pPr>
        <w:pStyle w:val="TextBody"/>
        <w:bidi w:val="0"/>
        <w:spacing w:before="0" w:after="0"/>
        <w:jc w:val="right"/>
        <w:rPr>
          <w:rFonts w:ascii="Times New Roman" w:hAnsi="Times New Roman"/>
          <w:b/>
          <w:sz w:val="20"/>
        </w:rPr>
      </w:pPr>
      <w:bookmarkStart w:id="2" w:name="d526592dex991.htm"/>
      <w:bookmarkStart w:id="3" w:name="ksd52659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pBdr/>
        <w:bidi w:val="0"/>
        <w:spacing w:before="0" w:after="0"/>
        <w:jc w:val="left"/>
        <w:rPr>
          <w:rFonts w:ascii="Times New Roman" w:hAnsi="Times New Roman"/>
          <w:sz w:val="20"/>
          <w:bdr w:val="single" w:sz="2" w:space="2" w:color="000000"/>
        </w:rPr>
      </w:pPr>
      <w:r>
        <w:rPr>
          <w:rFonts w:ascii="Times New Roman" w:hAnsi="Times New Roman"/>
          <w:i/>
          <w:sz w:val="20"/>
          <w:bdr w:val="single" w:sz="2" w:space="2" w:color="000000"/>
        </w:rPr>
        <w:t>Hong Kong Exchanges and Clearing Limited and The Stock Exchange of Hong Kong Limited (the </w:t>
      </w:r>
      <w:r>
        <w:rPr>
          <w:rFonts w:ascii="Times New Roman" w:hAnsi="Times New Roman"/>
          <w:b/>
          <w:i/>
          <w:sz w:val="20"/>
          <w:bdr w:val="single" w:sz="2" w:space="2" w:color="000000"/>
        </w:rPr>
        <w:t>Hong Kong Stock Exchange</w:t>
      </w:r>
      <w:r>
        <w:rPr>
          <w:rFonts w:ascii="Times New Roman" w:hAnsi="Times New Roman"/>
          <w:i/>
          <w:sz w:val="20"/>
          <w:bdr w:val="single" w:sz="2" w:space="2" w:color="000000"/>
        </w:rPr>
        <w:t xml:space="preserve">)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85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7524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NEW ORIENTAL EDUCATION &amp; TECHNOLOGY GROUP INC. </w:t>
      </w:r>
    </w:p>
    <w:p>
      <w:pPr>
        <w:pStyle w:val="TextBody"/>
        <w:bidi w:val="0"/>
        <w:spacing w:before="0" w:after="0"/>
        <w:jc w:val="center"/>
        <w:rPr/>
      </w:pPr>
      <w:r>
        <w:rPr>
          <w:rFonts w:eastAsia="Times New Roman"/>
          <w:b/>
          <w:sz w:val="20"/>
        </w:rPr>
        <w:t xml:space="preserve">新 东 方 教 育 科 技（ 集 团 ）有 限 公 司 </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9901) </w:t>
      </w:r>
    </w:p>
    <w:p>
      <w:pPr>
        <w:pStyle w:val="TextBody"/>
        <w:bidi w:val="0"/>
        <w:spacing w:before="480" w:after="0"/>
        <w:jc w:val="center"/>
        <w:rPr>
          <w:rFonts w:ascii="Times New Roman" w:hAnsi="Times New Roman"/>
          <w:b/>
          <w:sz w:val="20"/>
        </w:rPr>
      </w:pPr>
      <w:r>
        <w:rPr>
          <w:rFonts w:ascii="Times New Roman" w:hAnsi="Times New Roman"/>
          <w:b/>
          <w:sz w:val="20"/>
        </w:rPr>
        <w:t xml:space="preserve">DATE OF BOARD MEETING </w:t>
      </w:r>
    </w:p>
    <w:p>
      <w:pPr>
        <w:pStyle w:val="TextBody"/>
        <w:bidi w:val="0"/>
        <w:spacing w:before="240" w:after="0"/>
        <w:jc w:val="left"/>
        <w:rPr>
          <w:rFonts w:ascii="Times New Roman" w:hAnsi="Times New Roman"/>
          <w:b/>
          <w:sz w:val="20"/>
        </w:rPr>
      </w:pPr>
      <w:r>
        <w:rPr>
          <w:rFonts w:ascii="Times New Roman" w:hAnsi="Times New Roman"/>
          <w:b/>
          <w:sz w:val="20"/>
        </w:rPr>
        <w:t xml:space="preserve">Date of Board Meeting </w:t>
      </w:r>
    </w:p>
    <w:p>
      <w:pPr>
        <w:pStyle w:val="TextBody"/>
        <w:bidi w:val="0"/>
        <w:spacing w:before="120" w:after="0"/>
        <w:jc w:val="left"/>
        <w:rPr>
          <w:rFonts w:ascii="Times New Roman" w:hAnsi="Times New Roman"/>
          <w:sz w:val="20"/>
        </w:rPr>
      </w:pPr>
      <w:r>
        <w:rPr>
          <w:rFonts w:ascii="Times New Roman" w:hAnsi="Times New Roman"/>
          <w:sz w:val="20"/>
        </w:rPr>
        <w:t>The board (the </w:t>
      </w:r>
      <w:r>
        <w:rPr>
          <w:rFonts w:ascii="Times New Roman" w:hAnsi="Times New Roman"/>
          <w:b/>
          <w:sz w:val="20"/>
        </w:rPr>
        <w:t>Board</w:t>
      </w:r>
      <w:r>
        <w:rPr>
          <w:rFonts w:ascii="Times New Roman" w:hAnsi="Times New Roman"/>
          <w:sz w:val="20"/>
        </w:rPr>
        <w:t>) of directors (the </w:t>
      </w:r>
      <w:r>
        <w:rPr>
          <w:rFonts w:ascii="Times New Roman" w:hAnsi="Times New Roman"/>
          <w:b/>
          <w:sz w:val="20"/>
        </w:rPr>
        <w:t>Directors</w:t>
      </w:r>
      <w:r>
        <w:rPr>
          <w:rFonts w:ascii="Times New Roman" w:hAnsi="Times New Roman"/>
          <w:sz w:val="20"/>
        </w:rPr>
        <w:t>) of New Oriental Education &amp; Technology Group Inc. (the </w:t>
      </w:r>
      <w:r>
        <w:rPr>
          <w:rFonts w:ascii="Times New Roman" w:hAnsi="Times New Roman"/>
          <w:b/>
          <w:sz w:val="20"/>
        </w:rPr>
        <w:t>Company</w:t>
      </w:r>
      <w:r>
        <w:rPr>
          <w:rFonts w:ascii="Times New Roman" w:hAnsi="Times New Roman"/>
          <w:sz w:val="20"/>
        </w:rPr>
        <w:t>) hereby announces that a meeting of the Board will be held on Tuesday, October 24, 2023 for the purposes of, among other matters, approving the unaudited results of the Company for the three months ended August 31, 2023 (the </w:t>
      </w:r>
      <w:r>
        <w:rPr>
          <w:rFonts w:ascii="Times New Roman" w:hAnsi="Times New Roman"/>
          <w:b/>
          <w:sz w:val="20"/>
        </w:rPr>
        <w:t>Results</w:t>
      </w:r>
      <w:r>
        <w:rPr>
          <w:rFonts w:ascii="Times New Roman" w:hAnsi="Times New Roman"/>
          <w:sz w:val="20"/>
        </w:rPr>
        <w:t xml:space="preserve">) and its publication. </w:t>
      </w:r>
    </w:p>
    <w:p>
      <w:pPr>
        <w:pStyle w:val="TextBody"/>
        <w:bidi w:val="0"/>
        <w:spacing w:before="240" w:after="0"/>
        <w:jc w:val="left"/>
        <w:rPr>
          <w:rFonts w:ascii="Times New Roman" w:hAnsi="Times New Roman"/>
          <w:sz w:val="20"/>
        </w:rPr>
      </w:pPr>
      <w:r>
        <w:rPr>
          <w:rFonts w:ascii="Times New Roman" w:hAnsi="Times New Roman"/>
          <w:sz w:val="20"/>
        </w:rPr>
        <w:t xml:space="preserve">We will announce our Results before U.S. market opens on Wednesday, October 25, 2023 (New York time) on the website of the Hong Kong Stock Exchange at </w:t>
      </w:r>
      <w:r>
        <w:rPr>
          <w:rFonts w:ascii="Times New Roman" w:hAnsi="Times New Roman"/>
          <w:sz w:val="20"/>
          <w:u w:val="single"/>
        </w:rPr>
        <w:t>www.hkexnews.hk</w:t>
      </w:r>
      <w:r>
        <w:rPr>
          <w:rFonts w:ascii="Times New Roman" w:hAnsi="Times New Roman"/>
          <w:sz w:val="20"/>
        </w:rPr>
        <w:t xml:space="preserve">. The earnings teleconference call will take place at 8 p.m. on Wednesday, October 25, 2023 (Hong Kong time). The Companys management will be on the call to discuss the Results and answer questions. </w:t>
      </w:r>
    </w:p>
    <w:p>
      <w:pPr>
        <w:pStyle w:val="TextBody"/>
        <w:bidi w:val="0"/>
        <w:spacing w:before="240" w:after="0"/>
        <w:jc w:val="left"/>
        <w:rPr>
          <w:rFonts w:ascii="Times New Roman" w:hAnsi="Times New Roman"/>
          <w:sz w:val="20"/>
        </w:rPr>
      </w:pPr>
      <w:r>
        <w:rPr>
          <w:rFonts w:ascii="Times New Roman" w:hAnsi="Times New Roman"/>
          <w:sz w:val="20"/>
        </w:rPr>
        <w:t xml:space="preserve">Participants can join the conference using the below options: </w:t>
      </w:r>
    </w:p>
    <w:p>
      <w:pPr>
        <w:pStyle w:val="TextBody"/>
        <w:bidi w:val="0"/>
        <w:spacing w:before="360" w:after="0"/>
        <w:jc w:val="left"/>
        <w:rPr>
          <w:rFonts w:ascii="Times New Roman" w:hAnsi="Times New Roman"/>
          <w:b/>
          <w:sz w:val="20"/>
        </w:rPr>
      </w:pPr>
      <w:r>
        <w:rPr>
          <w:rFonts w:ascii="Times New Roman" w:hAnsi="Times New Roman"/>
          <w:b/>
          <w:sz w:val="20"/>
        </w:rPr>
        <w:t xml:space="preserve">Dialling-in to the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Please register in advance of the conference, using the link provided below. Upon registering, you will be provided with participant dial-in numbers, and unique personal PIN. </w:t>
      </w:r>
    </w:p>
    <w:p>
      <w:pPr>
        <w:pStyle w:val="TextBody"/>
        <w:bidi w:val="0"/>
        <w:spacing w:before="240" w:after="0"/>
        <w:jc w:val="left"/>
        <w:rPr>
          <w:rFonts w:ascii="Times New Roman" w:hAnsi="Times New Roman"/>
          <w:sz w:val="20"/>
        </w:rPr>
      </w:pPr>
      <w:r>
        <w:rPr>
          <w:rFonts w:ascii="Times New Roman" w:hAnsi="Times New Roman"/>
          <w:sz w:val="20"/>
        </w:rPr>
        <w:t xml:space="preserve">Conference call registration link: </w:t>
      </w:r>
      <w:r>
        <w:rPr>
          <w:rFonts w:ascii="Times New Roman" w:hAnsi="Times New Roman"/>
          <w:sz w:val="20"/>
          <w:u w:val="single"/>
        </w:rPr>
        <w:t>https://register.vevent.com/register/BI2dae07bbf8264f90885473b36ba0e8bc</w:t>
      </w:r>
      <w:r>
        <w:rPr>
          <w:rFonts w:ascii="Times New Roman" w:hAnsi="Times New Roman"/>
          <w:sz w:val="20"/>
        </w:rPr>
        <w:t xml:space="preserve">. It will automatically direct you to the registration page of New Oriental FY2024 Q1 Earnings Conference Call where you may fill in your details for RSVP.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 in number(s) and personal PIN) provided in the confirmation email received at the point of registering.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Joining the conference call via a live webcast: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live and archived webcast of the conference call will be available at </w:t>
      </w:r>
      <w:r>
        <w:rPr>
          <w:rFonts w:ascii="Times New Roman" w:hAnsi="Times New Roman"/>
          <w:sz w:val="20"/>
          <w:u w:val="single"/>
        </w:rPr>
        <w:t>http://investor.neworiental.org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Listening to the conference call replay: </w:t>
      </w:r>
    </w:p>
    <w:p>
      <w:pPr>
        <w:pStyle w:val="TextBody"/>
        <w:bidi w:val="0"/>
        <w:spacing w:before="120" w:after="0"/>
        <w:jc w:val="left"/>
        <w:rPr>
          <w:rFonts w:ascii="Times New Roman" w:hAnsi="Times New Roman"/>
          <w:sz w:val="20"/>
        </w:rPr>
      </w:pPr>
      <w:r>
        <w:rPr>
          <w:rFonts w:ascii="Times New Roman" w:hAnsi="Times New Roman"/>
          <w:sz w:val="20"/>
        </w:rPr>
        <w:t xml:space="preserve">A replay of the conference call may be accessed via the webcast on-demand by registering at </w:t>
      </w:r>
      <w:r>
        <w:rPr>
          <w:rFonts w:ascii="Times New Roman" w:hAnsi="Times New Roman"/>
          <w:sz w:val="20"/>
          <w:u w:val="single"/>
        </w:rPr>
        <w:t>https://edge.media-server.com/mmc/p/u556cfzt</w:t>
      </w:r>
      <w:r>
        <w:rPr>
          <w:rFonts w:ascii="Times New Roman" w:hAnsi="Times New Roman"/>
          <w:sz w:val="20"/>
        </w:rPr>
        <w:t xml:space="preserve"> first. The replay will be available until October 25,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New Oriental Education &amp; Technology Group Inc.</w:t>
            </w:r>
          </w:p>
        </w:tc>
      </w:tr>
      <w:tr>
        <w:trPr/>
        <w:tc>
          <w:tcPr>
            <w:tcW w:w="4082" w:type="dxa"/>
            <w:tcBorders/>
          </w:tcPr>
          <w:p>
            <w:pPr>
              <w:pStyle w:val="TableContents"/>
              <w:bidi w:val="0"/>
              <w:spacing w:before="0" w:after="283"/>
              <w:jc w:val="center"/>
              <w:rPr>
                <w:b/>
              </w:rPr>
            </w:pPr>
            <w:r>
              <w:rPr>
                <w:b/>
              </w:rPr>
              <w:t>Mr. Michael Minhong Yu</w:t>
            </w:r>
          </w:p>
        </w:tc>
      </w:tr>
      <w:tr>
        <w:trPr/>
        <w:tc>
          <w:tcPr>
            <w:tcW w:w="4082" w:type="dxa"/>
            <w:tcBorders/>
          </w:tcPr>
          <w:p>
            <w:pPr>
              <w:pStyle w:val="TableContents"/>
              <w:bidi w:val="0"/>
              <w:spacing w:before="0" w:after="283"/>
              <w:jc w:val="center"/>
              <w:rPr>
                <w:i/>
              </w:rPr>
            </w:pPr>
            <w:r>
              <w:rPr>
                <w:i/>
              </w:rPr>
              <w:t>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October 9, 2023 </w:t>
      </w:r>
    </w:p>
    <w:p>
      <w:pPr>
        <w:pStyle w:val="TextBody"/>
        <w:bidi w:val="0"/>
        <w:spacing w:before="240" w:after="0"/>
        <w:jc w:val="left"/>
        <w:rPr>
          <w:rFonts w:ascii="Times New Roman" w:hAnsi="Times New Roman"/>
          <w:sz w:val="20"/>
        </w:rPr>
      </w:pPr>
      <w:r>
        <w:rPr>
          <w:rFonts w:ascii="Times New Roman" w:hAnsi="Times New Roman"/>
          <w:i/>
          <w:sz w:val="20"/>
        </w:rPr>
        <w:t>As at the date of this announcement, the board of directors of the Company comprises Mr. Michael Minhong Yu, Mr. Chenggang Zhou and Mr. Louis T. Hsieh as directors and Mr. Robin Yanhong Li, Mr. Denny Lee and Mr. John Zhuang Yang as independent directors.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648</Words>
  <Characters>3327</Characters>
  <CharactersWithSpaces>3974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